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866A59" w14:textId="41FAC7FD" w:rsidR="00374F58" w:rsidRDefault="00374F58">
      <w:pPr>
        <w:ind w:right="251"/>
        <w:rPr>
          <w:b/>
          <w:i/>
          <w:sz w:val="28"/>
          <w:szCs w:val="28"/>
        </w:rPr>
      </w:pPr>
    </w:p>
    <w:p w14:paraId="24BA8311" w14:textId="17BA48D7" w:rsidR="006A0915" w:rsidRDefault="00374F58">
      <w:pPr>
        <w:ind w:left="-284" w:right="251"/>
        <w:rPr>
          <w:noProof/>
        </w:rPr>
      </w:pPr>
      <w:r w:rsidRPr="009A1D22">
        <w:rPr>
          <w:rFonts w:ascii="LatienneTCE-Medi" w:eastAsia="LatienneTCE-Medi" w:hAnsi="LatienneTCE-Medi" w:cs="LatienneTCE-Medi"/>
          <w:b/>
          <w:bCs/>
          <w:i/>
          <w:color w:val="0070C0"/>
        </w:rPr>
        <w:t xml:space="preserve">        </w:t>
      </w:r>
      <w:r w:rsidR="006A0915">
        <w:rPr>
          <w:rFonts w:ascii="LatienneTCE-Medi" w:hAnsi="LatienneTCE-Medi" w:cs="LatienneTCE-Medi"/>
          <w:i/>
          <w:noProof/>
          <w:color w:val="0070C0"/>
          <w:sz w:val="22"/>
          <w:szCs w:val="22"/>
          <w:lang w:eastAsia="sk-SK"/>
        </w:rPr>
        <w:t xml:space="preserve">  </w:t>
      </w:r>
    </w:p>
    <w:p w14:paraId="1DE8DD66" w14:textId="5785AE93" w:rsidR="00843727" w:rsidRPr="006A0915" w:rsidRDefault="00843727" w:rsidP="006A0915">
      <w:pPr>
        <w:ind w:left="-284" w:right="251"/>
        <w:jc w:val="center"/>
        <w:rPr>
          <w:noProof/>
        </w:rPr>
      </w:pPr>
    </w:p>
    <w:p w14:paraId="55E4BBCA" w14:textId="3E8730A4" w:rsidR="00843727" w:rsidRDefault="00843727" w:rsidP="005A2CAA">
      <w:pPr>
        <w:ind w:left="-284" w:right="251"/>
        <w:jc w:val="center"/>
        <w:rPr>
          <w:rFonts w:ascii="LatienneTCE-Medi" w:hAnsi="LatienneTCE-Medi" w:cs="LatienneTCE-Medi"/>
          <w:b/>
          <w:bCs/>
          <w:i/>
          <w:color w:val="0070C0"/>
        </w:rPr>
      </w:pPr>
    </w:p>
    <w:p w14:paraId="048914C0" w14:textId="77777777" w:rsidR="00843727" w:rsidRDefault="00843727">
      <w:pPr>
        <w:ind w:left="-284" w:right="251"/>
        <w:rPr>
          <w:rFonts w:ascii="LatienneTCE-Medi" w:hAnsi="LatienneTCE-Medi" w:cs="LatienneTCE-Medi"/>
          <w:b/>
          <w:bCs/>
          <w:i/>
          <w:color w:val="0070C0"/>
        </w:rPr>
      </w:pPr>
    </w:p>
    <w:p w14:paraId="032B11FA" w14:textId="3E8ECB7D" w:rsidR="00843727" w:rsidRDefault="00843727">
      <w:pPr>
        <w:ind w:left="-284" w:right="251"/>
        <w:rPr>
          <w:rFonts w:ascii="LatienneTCE-Medi" w:hAnsi="LatienneTCE-Medi" w:cs="LatienneTCE-Medi"/>
          <w:b/>
          <w:bCs/>
          <w:i/>
          <w:color w:val="0070C0"/>
        </w:rPr>
      </w:pPr>
      <w:r>
        <w:rPr>
          <w:rFonts w:ascii="LatienneTCE-Medi" w:hAnsi="LatienneTCE-Medi" w:cs="LatienneTCE-Medi"/>
          <w:b/>
          <w:bCs/>
          <w:i/>
          <w:color w:val="0070C0"/>
        </w:rPr>
        <w:t xml:space="preserve">       </w:t>
      </w:r>
      <w:r w:rsidR="00D55908" w:rsidRPr="00D55908">
        <w:t xml:space="preserve"> </w:t>
      </w:r>
    </w:p>
    <w:p w14:paraId="1FA64855" w14:textId="60FD926F" w:rsidR="00843727" w:rsidRDefault="00843727" w:rsidP="005A2CAA">
      <w:pPr>
        <w:ind w:left="-284" w:right="251"/>
        <w:jc w:val="right"/>
        <w:rPr>
          <w:rFonts w:ascii="LatienneTCE-Medi" w:hAnsi="LatienneTCE-Medi" w:cs="LatienneTCE-Medi"/>
          <w:b/>
          <w:bCs/>
          <w:i/>
          <w:color w:val="0070C0"/>
        </w:rPr>
      </w:pPr>
    </w:p>
    <w:p w14:paraId="644B8FD0" w14:textId="0721548D" w:rsidR="009A1D22" w:rsidRDefault="00843727" w:rsidP="00580F0B">
      <w:pPr>
        <w:ind w:left="-284" w:right="251"/>
        <w:rPr>
          <w:rFonts w:ascii="LatienneTCE-Medi" w:hAnsi="LatienneTCE-Medi" w:cs="LatienneTCE-Medi"/>
          <w:i/>
        </w:rPr>
      </w:pPr>
      <w:r>
        <w:rPr>
          <w:rFonts w:ascii="LatienneTCE-Medi" w:hAnsi="LatienneTCE-Medi" w:cs="LatienneTCE-Medi"/>
          <w:b/>
          <w:bCs/>
          <w:i/>
          <w:color w:val="0070C0"/>
        </w:rPr>
        <w:t xml:space="preserve">     </w:t>
      </w:r>
      <w:r w:rsidR="00E71AF9"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 w:rsidR="009F0AB2">
        <w:rPr>
          <w:rFonts w:ascii="LatienneTCE-Medi" w:hAnsi="LatienneTCE-Medi" w:cs="LatienneTCE-Medi"/>
          <w:b/>
          <w:bCs/>
          <w:i/>
          <w:color w:val="0070C0"/>
        </w:rPr>
        <w:t xml:space="preserve"> </w:t>
      </w:r>
      <w:r w:rsidR="009B6810">
        <w:rPr>
          <w:rFonts w:ascii="LatienneTCE-Medi" w:hAnsi="LatienneTCE-Medi" w:cs="LatienneTCE-Medi"/>
          <w:iCs/>
        </w:rPr>
        <w:t xml:space="preserve"> </w:t>
      </w:r>
    </w:p>
    <w:p w14:paraId="5F0C9AAF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241B4E9E" w14:textId="77777777" w:rsidR="00580F0B" w:rsidRDefault="00580F0B" w:rsidP="00580F0B">
      <w:pPr>
        <w:ind w:right="251"/>
        <w:rPr>
          <w:rFonts w:ascii="LatienneTCE-Medi" w:hAnsi="LatienneTCE-Medi" w:cs="LatienneTCE-Medi"/>
          <w:i/>
        </w:rPr>
      </w:pPr>
    </w:p>
    <w:p w14:paraId="1402D616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48879030" w14:textId="1C5130F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71D03644" wp14:editId="5BBEB3EE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511425" cy="760095"/>
            <wp:effectExtent l="0" t="0" r="0" b="0"/>
            <wp:wrapSquare wrapText="largest"/>
            <wp:docPr id="16972023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86879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0144C5B5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1E4F7FA4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3E236ED4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1C34FA60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40BE9D9C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0A7D8A02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3CF38591" w14:textId="37FFB4AB" w:rsidR="00580F0B" w:rsidRPr="00580F0B" w:rsidRDefault="00580F0B" w:rsidP="00580F0B">
      <w:pPr>
        <w:ind w:left="-284" w:right="251"/>
        <w:rPr>
          <w:rFonts w:cs="Times New Roman"/>
          <w:i/>
          <w:sz w:val="96"/>
          <w:szCs w:val="96"/>
        </w:rPr>
      </w:pPr>
      <w:r>
        <w:rPr>
          <w:rFonts w:ascii="LatienneTCE-Medi" w:hAnsi="LatienneTCE-Medi" w:cs="LatienneTCE-Medi"/>
          <w:i/>
        </w:rPr>
        <w:t xml:space="preserve">                                        </w:t>
      </w:r>
      <w:r w:rsidRPr="00580F0B">
        <w:rPr>
          <w:rFonts w:cs="Times New Roman"/>
          <w:i/>
          <w:sz w:val="96"/>
          <w:szCs w:val="96"/>
        </w:rPr>
        <w:t>2025</w:t>
      </w:r>
    </w:p>
    <w:p w14:paraId="74E22F18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35EF7E13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6DA1167B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0756184B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38F14838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26F25DC2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170AE4B7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2BFAA745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11DCC491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55C6B7BD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2ECBB382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6CA8D634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2759DA89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492EDB9D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52BBF7EA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1C04EA39" w14:textId="77777777" w:rsidR="00580F0B" w:rsidRDefault="00580F0B" w:rsidP="00580F0B">
      <w:pPr>
        <w:ind w:left="-284" w:right="251"/>
        <w:rPr>
          <w:rFonts w:ascii="LatienneTCE-Medi" w:hAnsi="LatienneTCE-Medi" w:cs="LatienneTCE-Medi"/>
          <w:i/>
        </w:rPr>
      </w:pPr>
    </w:p>
    <w:p w14:paraId="65236B0D" w14:textId="77777777" w:rsidR="00580F0B" w:rsidRDefault="00580F0B" w:rsidP="00580F0B">
      <w:pPr>
        <w:ind w:right="251"/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</w:p>
    <w:p w14:paraId="46D9BC22" w14:textId="3A63FD46" w:rsidR="00E17EB8" w:rsidRPr="00580F0B" w:rsidRDefault="009A1D22" w:rsidP="00580F0B">
      <w:pPr>
        <w:jc w:val="center"/>
        <w:rPr>
          <w:rFonts w:ascii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  <w:t xml:space="preserve">   </w:t>
      </w:r>
      <w:r w:rsidR="00E17EB8" w:rsidRPr="00E17EB8">
        <w:rPr>
          <w:rFonts w:ascii="LatienneTCE-Medi" w:hAnsi="LatienneTCE-Medi" w:cs="LatienneTCE-Medi"/>
          <w:bCs/>
          <w:i/>
          <w:color w:val="000000" w:themeColor="text1"/>
          <w:sz w:val="22"/>
          <w:szCs w:val="22"/>
        </w:rPr>
        <w:t>Regionálna komora sestier a pôrodných asistentiek Košice I a Košice II</w:t>
      </w:r>
    </w:p>
    <w:p w14:paraId="5EC4FB5D" w14:textId="77777777" w:rsidR="009B6810" w:rsidRDefault="009B6810" w:rsidP="00580F0B">
      <w:pPr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</w:p>
    <w:p w14:paraId="459D4194" w14:textId="3EEB2A5D" w:rsidR="00374F58" w:rsidRPr="009F0AB2" w:rsidRDefault="00374F58" w:rsidP="009F0AB2">
      <w:pPr>
        <w:jc w:val="center"/>
        <w:rPr>
          <w:rFonts w:ascii="LatienneTCE-Medi" w:eastAsia="LatienneTCE-Medi" w:hAnsi="LatienneTCE-Medi" w:cs="LatienneTCE-Medi"/>
          <w:bCs/>
          <w:i/>
          <w:color w:val="0070C0"/>
          <w:sz w:val="22"/>
          <w:szCs w:val="22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SLOVENSKÁ KOMORA SESTIER                               A PÔRODNÝCH ASISTENTIEK</w:t>
      </w:r>
    </w:p>
    <w:p w14:paraId="3CE99AA4" w14:textId="77777777" w:rsidR="00374F58" w:rsidRDefault="00374F58" w:rsidP="009F0AB2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REGIONÁLNA KOMORA</w:t>
      </w:r>
    </w:p>
    <w:p w14:paraId="68DE512E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sestier a pôrodných asistentiek</w:t>
      </w:r>
    </w:p>
    <w:p w14:paraId="33DD361E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color w:val="0070C0"/>
          <w:sz w:val="22"/>
          <w:szCs w:val="22"/>
          <w:lang w:eastAsia="sk-SK"/>
        </w:rPr>
        <w:t>Košice I a Košice II</w:t>
      </w:r>
    </w:p>
    <w:p w14:paraId="4871DFA9" w14:textId="77777777" w:rsidR="00374F58" w:rsidRDefault="00374F58">
      <w:pPr>
        <w:suppressAutoHyphens w:val="0"/>
        <w:autoSpaceDE w:val="0"/>
        <w:jc w:val="center"/>
        <w:rPr>
          <w:rFonts w:ascii="LatienneTCE-Medi" w:hAnsi="LatienneTCE-Medi" w:cs="LatienneTCE-Medi"/>
          <w:color w:val="0070C0"/>
          <w:sz w:val="22"/>
          <w:szCs w:val="22"/>
          <w:lang w:eastAsia="sk-SK"/>
        </w:rPr>
      </w:pPr>
    </w:p>
    <w:p w14:paraId="539E2A2A" w14:textId="3942C31B" w:rsidR="00374F58" w:rsidRDefault="00D10398">
      <w:pPr>
        <w:jc w:val="center"/>
        <w:rPr>
          <w:sz w:val="20"/>
          <w:szCs w:val="20"/>
        </w:rPr>
      </w:pPr>
      <w:r w:rsidRPr="00F20E56">
        <w:rPr>
          <w:b/>
          <w:noProof/>
          <w:sz w:val="28"/>
          <w:szCs w:val="28"/>
        </w:rPr>
        <w:drawing>
          <wp:inline distT="0" distB="0" distL="0" distR="0" wp14:anchorId="425F3D30" wp14:editId="4E8AFC6D">
            <wp:extent cx="876300" cy="337792"/>
            <wp:effectExtent l="0" t="0" r="0" b="5715"/>
            <wp:docPr id="1689028690" name="Obrázok 1" descr="C:\Users\RkSaPAKE2\Downloads\Logo SKS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RkSaPAKE2\Downloads\Logo SKSaP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88" cy="3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69F1" w14:textId="77777777" w:rsidR="00374F58" w:rsidRDefault="00374F58">
      <w:pPr>
        <w:rPr>
          <w:sz w:val="20"/>
          <w:szCs w:val="20"/>
        </w:rPr>
      </w:pPr>
    </w:p>
    <w:p w14:paraId="0B2136D8" w14:textId="02D0FA3C" w:rsidR="00374F58" w:rsidRDefault="00E644EE">
      <w:pPr>
        <w:jc w:val="center"/>
        <w:rPr>
          <w:rFonts w:ascii="LatienneTCE-Medi" w:hAnsi="LatienneTCE-Medi" w:cs="LatienneTCE-Medi"/>
          <w:color w:val="0070C0"/>
          <w:sz w:val="20"/>
          <w:szCs w:val="20"/>
        </w:rPr>
      </w:pPr>
      <w:r>
        <w:rPr>
          <w:rFonts w:ascii="LatienneTCE-Medi" w:hAnsi="LatienneTCE-Medi" w:cs="LatienneTCE-Medi"/>
          <w:color w:val="0070C0"/>
          <w:sz w:val="20"/>
          <w:szCs w:val="20"/>
        </w:rPr>
        <w:t>u</w:t>
      </w:r>
      <w:r w:rsidR="00374F58">
        <w:rPr>
          <w:rFonts w:ascii="LatienneTCE-Medi" w:hAnsi="LatienneTCE-Medi" w:cs="LatienneTCE-Medi"/>
          <w:color w:val="0070C0"/>
          <w:sz w:val="20"/>
          <w:szCs w:val="20"/>
        </w:rPr>
        <w:t>sporiada</w:t>
      </w:r>
    </w:p>
    <w:p w14:paraId="22576185" w14:textId="717B89FB" w:rsidR="00E644EE" w:rsidRDefault="00E644EE">
      <w:pPr>
        <w:jc w:val="center"/>
        <w:rPr>
          <w:rFonts w:ascii="LatienneTCE-Medi" w:hAnsi="LatienneTCE-Medi" w:cs="LatienneTCE-Medi"/>
          <w:color w:val="0070C0"/>
          <w:sz w:val="20"/>
          <w:szCs w:val="20"/>
        </w:rPr>
      </w:pPr>
      <w:r>
        <w:rPr>
          <w:rFonts w:ascii="LatienneTCE-Medi" w:hAnsi="LatienneTCE-Medi" w:cs="LatienneTCE-Medi"/>
          <w:color w:val="0070C0"/>
          <w:sz w:val="20"/>
          <w:szCs w:val="20"/>
        </w:rPr>
        <w:t>pri príležitosti Medzinárodného dňa sestier</w:t>
      </w:r>
    </w:p>
    <w:p w14:paraId="513ACE24" w14:textId="2B7328C3" w:rsidR="00843727" w:rsidRDefault="00E71AF9">
      <w:pPr>
        <w:jc w:val="center"/>
        <w:rPr>
          <w:rFonts w:ascii="LatienneTCE-Medi" w:hAnsi="LatienneTCE-Medi" w:cs="LatienneTCE-Medi"/>
          <w:sz w:val="20"/>
          <w:szCs w:val="20"/>
        </w:rPr>
      </w:pPr>
      <w:r>
        <w:rPr>
          <w:b/>
        </w:rPr>
        <w:t>odborný  seminár</w:t>
      </w:r>
    </w:p>
    <w:p w14:paraId="2AAC6224" w14:textId="77777777" w:rsidR="00E71AF9" w:rsidRDefault="00E71AF9">
      <w:pPr>
        <w:jc w:val="center"/>
        <w:rPr>
          <w:rFonts w:cs="Times New Roman"/>
          <w:color w:val="4472C4" w:themeColor="accent1"/>
          <w:sz w:val="28"/>
          <w:szCs w:val="28"/>
        </w:rPr>
      </w:pPr>
    </w:p>
    <w:p w14:paraId="367DAECB" w14:textId="1C123166" w:rsidR="00374F58" w:rsidRPr="00843727" w:rsidRDefault="00843727">
      <w:pPr>
        <w:jc w:val="center"/>
        <w:rPr>
          <w:rFonts w:cs="Times New Roman"/>
          <w:color w:val="4472C4" w:themeColor="accent1"/>
          <w:sz w:val="28"/>
          <w:szCs w:val="28"/>
        </w:rPr>
      </w:pPr>
      <w:r w:rsidRPr="00843727">
        <w:rPr>
          <w:rFonts w:cs="Times New Roman"/>
          <w:color w:val="4472C4" w:themeColor="accent1"/>
          <w:sz w:val="28"/>
          <w:szCs w:val="28"/>
        </w:rPr>
        <w:t>Košický deň sestier</w:t>
      </w:r>
    </w:p>
    <w:p w14:paraId="00D6EF8F" w14:textId="313EE032" w:rsidR="00374F58" w:rsidRDefault="00374F58" w:rsidP="00E71AF9">
      <w:pPr>
        <w:rPr>
          <w:b/>
        </w:rPr>
      </w:pPr>
    </w:p>
    <w:p w14:paraId="50B10489" w14:textId="6A8A91F2" w:rsidR="00374F58" w:rsidRDefault="00BE4DDF">
      <w:pPr>
        <w:jc w:val="center"/>
        <w:rPr>
          <w:rFonts w:cs="Times New Roman"/>
          <w:b/>
        </w:rPr>
      </w:pPr>
      <w:r>
        <w:rPr>
          <w:b/>
        </w:rPr>
        <w:t>d</w:t>
      </w:r>
      <w:r w:rsidR="00374F58">
        <w:rPr>
          <w:b/>
        </w:rPr>
        <w:t>ňa</w:t>
      </w:r>
      <w:r>
        <w:rPr>
          <w:b/>
        </w:rPr>
        <w:t xml:space="preserve"> </w:t>
      </w:r>
      <w:r w:rsidR="00C8105C">
        <w:rPr>
          <w:b/>
        </w:rPr>
        <w:t>13. jún</w:t>
      </w:r>
      <w:r w:rsidR="00580F0B">
        <w:rPr>
          <w:b/>
        </w:rPr>
        <w:t>a</w:t>
      </w:r>
      <w:r w:rsidR="00C8105C">
        <w:rPr>
          <w:b/>
        </w:rPr>
        <w:t xml:space="preserve"> 2025</w:t>
      </w:r>
      <w:r w:rsidR="00374F58">
        <w:rPr>
          <w:b/>
        </w:rPr>
        <w:t xml:space="preserve">  o 09.00 hod</w:t>
      </w:r>
    </w:p>
    <w:p w14:paraId="3207CF77" w14:textId="77777777" w:rsidR="00374F58" w:rsidRDefault="00374F58">
      <w:pPr>
        <w:jc w:val="center"/>
      </w:pPr>
      <w:r>
        <w:rPr>
          <w:rFonts w:cs="Times New Roman"/>
          <w:b/>
        </w:rPr>
        <w:t xml:space="preserve"> </w:t>
      </w:r>
      <w:r>
        <w:rPr>
          <w:b/>
        </w:rPr>
        <w:t>Dom umenia,</w:t>
      </w:r>
      <w:r w:rsidR="009A1D22">
        <w:rPr>
          <w:b/>
        </w:rPr>
        <w:t xml:space="preserve"> </w:t>
      </w:r>
      <w:r>
        <w:rPr>
          <w:b/>
        </w:rPr>
        <w:t>Košice</w:t>
      </w:r>
    </w:p>
    <w:p w14:paraId="70AEE969" w14:textId="77777777" w:rsidR="00374F58" w:rsidRDefault="00374F58"/>
    <w:p w14:paraId="013D518B" w14:textId="77777777" w:rsidR="00374F58" w:rsidRDefault="00374F58">
      <w:pPr>
        <w:jc w:val="center"/>
        <w:rPr>
          <w:sz w:val="20"/>
          <w:szCs w:val="20"/>
        </w:rPr>
      </w:pPr>
    </w:p>
    <w:p w14:paraId="38B19EE4" w14:textId="3C474824" w:rsidR="00BD44FC" w:rsidRDefault="007C2314" w:rsidP="004175D0">
      <w:pPr>
        <w:jc w:val="center"/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 wp14:anchorId="4B4F209D" wp14:editId="35A2FAE2">
            <wp:extent cx="1514475" cy="131445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644D" w14:textId="77777777" w:rsidR="00BD44FC" w:rsidRDefault="00BD44FC" w:rsidP="009E2AC7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68135307" w14:textId="77777777" w:rsidR="00B0656A" w:rsidRDefault="00B0656A" w:rsidP="00B0656A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  <w:r>
        <w:rPr>
          <w:rFonts w:ascii="LatienneTCE-Medi" w:hAnsi="LatienneTCE-Medi" w:cs="LatienneTCE-Medi"/>
          <w:b/>
          <w:i/>
          <w:color w:val="0070C0"/>
          <w:sz w:val="20"/>
          <w:szCs w:val="20"/>
        </w:rPr>
        <w:t>Téma:</w:t>
      </w:r>
    </w:p>
    <w:p w14:paraId="610A88DF" w14:textId="66D6BBF1" w:rsidR="00771B9D" w:rsidRPr="00771B9D" w:rsidRDefault="00771B9D" w:rsidP="00771B9D">
      <w:pPr>
        <w:jc w:val="center"/>
        <w:rPr>
          <w:rFonts w:ascii="LatienneTCE-Medi" w:hAnsi="LatienneTCE-Medi" w:cs="LatienneTCE-Medi"/>
          <w:b/>
          <w:i/>
          <w:color w:val="2E74B5" w:themeColor="accent5" w:themeShade="BF"/>
          <w:sz w:val="20"/>
          <w:szCs w:val="20"/>
        </w:rPr>
      </w:pPr>
      <w:r>
        <w:rPr>
          <w:b/>
          <w:color w:val="2E74B5" w:themeColor="accent5" w:themeShade="BF"/>
          <w:sz w:val="20"/>
          <w:szCs w:val="20"/>
        </w:rPr>
        <w:t>„</w:t>
      </w:r>
      <w:r w:rsidR="00C8105C">
        <w:rPr>
          <w:b/>
          <w:color w:val="2E74B5" w:themeColor="accent5" w:themeShade="BF"/>
          <w:sz w:val="20"/>
          <w:szCs w:val="20"/>
        </w:rPr>
        <w:t>Naše sestry. Naša budúcnosť. Starostlivosť o sestry posilňuje ekonomiku.</w:t>
      </w:r>
      <w:r w:rsidRPr="00771B9D">
        <w:rPr>
          <w:b/>
          <w:color w:val="2E74B5" w:themeColor="accent5" w:themeShade="BF"/>
          <w:sz w:val="20"/>
          <w:szCs w:val="20"/>
        </w:rPr>
        <w:t>“.</w:t>
      </w:r>
    </w:p>
    <w:p w14:paraId="6C31CFFD" w14:textId="77777777" w:rsidR="00771B9D" w:rsidRDefault="00771B9D" w:rsidP="00771B9D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</w:p>
    <w:p w14:paraId="6C3746CD" w14:textId="77777777" w:rsidR="00B0656A" w:rsidRDefault="00B0656A" w:rsidP="00B0656A">
      <w:pPr>
        <w:jc w:val="center"/>
        <w:rPr>
          <w:rFonts w:ascii="LatienneTCE-Medi" w:hAnsi="LatienneTCE-Medi" w:cs="LatienneTCE-Medi"/>
          <w:b/>
          <w:i/>
          <w:color w:val="0070C0"/>
          <w:sz w:val="20"/>
          <w:szCs w:val="20"/>
        </w:rPr>
      </w:pPr>
    </w:p>
    <w:p w14:paraId="1FA4094E" w14:textId="1696FF59" w:rsidR="00B0656A" w:rsidRDefault="00B0656A" w:rsidP="00B0656A">
      <w:pPr>
        <w:jc w:val="center"/>
        <w:rPr>
          <w:b/>
          <w:bCs/>
          <w:sz w:val="22"/>
          <w:szCs w:val="22"/>
        </w:rPr>
      </w:pPr>
    </w:p>
    <w:p w14:paraId="7305BF4A" w14:textId="014F76B1" w:rsidR="00B0656A" w:rsidRDefault="00B0656A" w:rsidP="00B0656A">
      <w:pPr>
        <w:jc w:val="center"/>
        <w:rPr>
          <w:rFonts w:ascii="LatienneTCE-Medi" w:hAnsi="LatienneTCE-Medi" w:cs="LatienneTCE-Medi"/>
          <w:b/>
          <w:sz w:val="20"/>
          <w:szCs w:val="20"/>
        </w:rPr>
      </w:pPr>
    </w:p>
    <w:p w14:paraId="3E885E70" w14:textId="6AE1AF04" w:rsidR="00B0656A" w:rsidRDefault="00B0656A" w:rsidP="00B0656A">
      <w:pPr>
        <w:jc w:val="center"/>
        <w:rPr>
          <w:rFonts w:ascii="LatienneTCE-Medi" w:hAnsi="LatienneTCE-Medi" w:cs="LatienneTCE-Medi"/>
          <w:b/>
          <w:sz w:val="20"/>
          <w:szCs w:val="20"/>
        </w:rPr>
      </w:pPr>
    </w:p>
    <w:p w14:paraId="7BF99EC8" w14:textId="6F040E3B" w:rsidR="00BD44FC" w:rsidRDefault="009F0AB2" w:rsidP="00B0656A">
      <w:pPr>
        <w:jc w:val="center"/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6A586640" wp14:editId="25DF7252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2511425" cy="760095"/>
            <wp:effectExtent l="0" t="0" r="3175" b="1905"/>
            <wp:wrapSquare wrapText="largest"/>
            <wp:docPr id="1907861124" name="Obrázok 1907861124" descr="Obrázok, na ktorom je text, písmo, log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4107" name="Obrázok 74664107" descr="Obrázok, na ktorom je text, písmo, logo, grafi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636E" w14:textId="2E9089A2" w:rsidR="007875CA" w:rsidRDefault="007875CA" w:rsidP="009E2AC7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5D463C72" w14:textId="7C50A6F8" w:rsidR="009E2AC7" w:rsidRDefault="009E2AC7" w:rsidP="009E2AC7">
      <w:pPr>
        <w:ind w:left="720"/>
        <w:jc w:val="both"/>
        <w:rPr>
          <w:b/>
          <w:sz w:val="22"/>
          <w:szCs w:val="22"/>
        </w:rPr>
      </w:pPr>
    </w:p>
    <w:p w14:paraId="6A89BDA6" w14:textId="228997EE" w:rsidR="00374F58" w:rsidRDefault="009E2AC7" w:rsidP="009E2AC7">
      <w:pPr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  <w:r>
        <w:rPr>
          <w:b/>
          <w:sz w:val="22"/>
          <w:szCs w:val="22"/>
        </w:rPr>
        <w:t xml:space="preserve"> </w:t>
      </w:r>
    </w:p>
    <w:p w14:paraId="6E3305CF" w14:textId="77777777" w:rsidR="00B0656A" w:rsidRDefault="00B0656A" w:rsidP="004175D0">
      <w:pPr>
        <w:rPr>
          <w:rFonts w:ascii="LatienneTCE-Med" w:hAnsi="LatienneTCE-Med" w:cs="LatienneTCE-Med"/>
          <w:b/>
          <w:color w:val="0070C0"/>
        </w:rPr>
      </w:pPr>
    </w:p>
    <w:p w14:paraId="6EF3B817" w14:textId="77777777" w:rsidR="009F0AB2" w:rsidRDefault="009F0AB2" w:rsidP="004175D0">
      <w:pPr>
        <w:rPr>
          <w:rFonts w:ascii="LatienneTCE-Med" w:hAnsi="LatienneTCE-Med" w:cs="LatienneTCE-Med"/>
          <w:b/>
          <w:color w:val="0070C0"/>
        </w:rPr>
      </w:pPr>
    </w:p>
    <w:p w14:paraId="4B035421" w14:textId="46756972" w:rsidR="004175D0" w:rsidRPr="007875CA" w:rsidRDefault="004175D0" w:rsidP="004175D0">
      <w:pPr>
        <w:rPr>
          <w:rFonts w:ascii="LatienneTCE-Med" w:hAnsi="LatienneTCE-Med" w:cs="LatienneTCE-Med"/>
          <w:b/>
          <w:color w:val="0070C0"/>
        </w:rPr>
      </w:pPr>
      <w:r>
        <w:rPr>
          <w:rFonts w:ascii="LatienneTCE-Med" w:hAnsi="LatienneTCE-Med" w:cs="LatienneTCE-Med"/>
          <w:b/>
          <w:color w:val="0070C0"/>
        </w:rPr>
        <w:t>MOTTO:</w:t>
      </w:r>
    </w:p>
    <w:p w14:paraId="3F76DE1B" w14:textId="778F6807" w:rsidR="004A384D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„Každý, kto má to šťastie </w:t>
      </w:r>
    </w:p>
    <w:p w14:paraId="2C94F90E" w14:textId="77777777" w:rsidR="004A384D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a smie prinášať pomoc a dobro, </w:t>
      </w:r>
    </w:p>
    <w:p w14:paraId="66409B5A" w14:textId="77777777" w:rsidR="004A384D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mal by pochopiť, že sa mu tým dostáva </w:t>
      </w:r>
    </w:p>
    <w:p w14:paraId="59BF4B41" w14:textId="16D79FB9" w:rsidR="004175D0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>veľkej milosti.“</w:t>
      </w:r>
    </w:p>
    <w:p w14:paraId="058CF929" w14:textId="77777777" w:rsidR="004A384D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</w:p>
    <w:p w14:paraId="3DA36F2C" w14:textId="66602C25" w:rsidR="004A384D" w:rsidRDefault="004A384D" w:rsidP="004175D0">
      <w:pPr>
        <w:suppressAutoHyphens w:val="0"/>
        <w:jc w:val="center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                              </w:t>
      </w:r>
      <w:proofErr w:type="spellStart"/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>Florence</w:t>
      </w:r>
      <w:proofErr w:type="spellEnd"/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 xml:space="preserve"> </w:t>
      </w:r>
      <w:proofErr w:type="spellStart"/>
      <w:r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  <w:t>Nightingale</w:t>
      </w:r>
      <w:proofErr w:type="spellEnd"/>
    </w:p>
    <w:p w14:paraId="6EA6B8FC" w14:textId="77777777" w:rsidR="004A384D" w:rsidRDefault="004A384D" w:rsidP="004175D0">
      <w:pPr>
        <w:tabs>
          <w:tab w:val="left" w:pos="426"/>
        </w:tabs>
        <w:suppressAutoHyphens w:val="0"/>
        <w:rPr>
          <w:rFonts w:ascii="LatienneTCE-Medi" w:hAnsi="LatienneTCE-Medi" w:cs="LatienneTCE-Medi"/>
          <w:b/>
          <w:color w:val="0070C0"/>
          <w:sz w:val="22"/>
          <w:szCs w:val="22"/>
          <w:lang w:eastAsia="sk-SK"/>
        </w:rPr>
      </w:pPr>
    </w:p>
    <w:p w14:paraId="5CB19077" w14:textId="128A7AE9" w:rsidR="004175D0" w:rsidRDefault="004175D0" w:rsidP="004A384D">
      <w:pPr>
        <w:tabs>
          <w:tab w:val="left" w:pos="426"/>
        </w:tabs>
        <w:suppressAutoHyphens w:val="0"/>
        <w:rPr>
          <w:sz w:val="20"/>
          <w:szCs w:val="20"/>
        </w:rPr>
      </w:pPr>
      <w:r>
        <w:rPr>
          <w:rFonts w:ascii="LatienneTCE-Medi" w:eastAsia="LatienneTCE-Medi" w:hAnsi="LatienneTCE-Medi" w:cs="LatienneTCE-Medi"/>
          <w:b/>
          <w:color w:val="0070C0"/>
          <w:sz w:val="22"/>
          <w:szCs w:val="22"/>
          <w:lang w:eastAsia="sk-SK"/>
        </w:rPr>
        <w:t xml:space="preserve">      </w:t>
      </w:r>
    </w:p>
    <w:p w14:paraId="2300128E" w14:textId="77777777" w:rsidR="004175D0" w:rsidRPr="003C7CBE" w:rsidRDefault="004175D0" w:rsidP="004175D0">
      <w:pPr>
        <w:rPr>
          <w:color w:val="0066FF"/>
          <w:sz w:val="28"/>
          <w:szCs w:val="28"/>
        </w:rPr>
      </w:pPr>
      <w:r w:rsidRPr="003C7CBE">
        <w:rPr>
          <w:color w:val="0066FF"/>
          <w:sz w:val="28"/>
          <w:szCs w:val="28"/>
        </w:rPr>
        <w:t>Organizátori</w:t>
      </w:r>
    </w:p>
    <w:p w14:paraId="54D48596" w14:textId="77777777" w:rsidR="004175D0" w:rsidRDefault="004175D0" w:rsidP="004175D0">
      <w:pPr>
        <w:rPr>
          <w:color w:val="0066FF"/>
          <w:sz w:val="26"/>
          <w:szCs w:val="26"/>
        </w:rPr>
      </w:pPr>
    </w:p>
    <w:p w14:paraId="7815A793" w14:textId="77777777" w:rsidR="004175D0" w:rsidRPr="003C7CBE" w:rsidRDefault="004175D0" w:rsidP="004175D0">
      <w:pPr>
        <w:rPr>
          <w:rFonts w:ascii="LatienneTCE-Medi" w:hAnsi="LatienneTCE-Medi" w:cs="Times New Roman"/>
          <w:color w:val="0066FF"/>
          <w:lang w:eastAsia="sk-SK"/>
        </w:rPr>
      </w:pPr>
      <w:r w:rsidRPr="003C7CBE">
        <w:rPr>
          <w:rFonts w:ascii="LatienneTCE-Medi" w:hAnsi="LatienneTCE-Medi" w:cs="Times New Roman"/>
          <w:color w:val="0066FF"/>
          <w:lang w:eastAsia="sk-SK"/>
        </w:rPr>
        <w:t xml:space="preserve">RK SaPA KE I   Mgr. Elena </w:t>
      </w:r>
      <w:proofErr w:type="spellStart"/>
      <w:r w:rsidRPr="003C7CBE">
        <w:rPr>
          <w:rFonts w:ascii="LatienneTCE-Medi" w:hAnsi="LatienneTCE-Medi" w:cs="Times New Roman"/>
          <w:color w:val="0066FF"/>
          <w:lang w:eastAsia="sk-SK"/>
        </w:rPr>
        <w:t>Červeňáková</w:t>
      </w:r>
      <w:proofErr w:type="spellEnd"/>
    </w:p>
    <w:p w14:paraId="71CABBAB" w14:textId="77777777" w:rsidR="004175D0" w:rsidRDefault="004175D0" w:rsidP="004175D0">
      <w:pPr>
        <w:rPr>
          <w:rFonts w:ascii="LatienneTCE-Medi" w:hAnsi="LatienneTCE-Medi" w:cs="Times New Roman"/>
          <w:color w:val="0066FF"/>
          <w:sz w:val="28"/>
          <w:szCs w:val="28"/>
          <w:lang w:eastAsia="sk-SK"/>
        </w:rPr>
      </w:pPr>
      <w:r w:rsidRPr="003C7CBE">
        <w:rPr>
          <w:rFonts w:ascii="LatienneTCE-Medi" w:hAnsi="LatienneTCE-Medi" w:cs="Times New Roman"/>
          <w:color w:val="0066FF"/>
          <w:lang w:eastAsia="sk-SK"/>
        </w:rPr>
        <w:t>RK SaPA KE II  Mgr. Iveta  Fabianová</w:t>
      </w:r>
    </w:p>
    <w:p w14:paraId="098E8656" w14:textId="77777777" w:rsidR="004175D0" w:rsidRDefault="004175D0" w:rsidP="004175D0">
      <w:pPr>
        <w:suppressAutoHyphens w:val="0"/>
        <w:rPr>
          <w:rFonts w:ascii="LatienneTCE-Medi" w:eastAsia="LatienneTCE-Medi" w:hAnsi="LatienneTCE-Medi" w:cs="LatienneTCE-Medi"/>
          <w:color w:val="0070C0"/>
          <w:sz w:val="36"/>
          <w:szCs w:val="36"/>
          <w:lang w:eastAsia="sk-SK"/>
        </w:rPr>
      </w:pPr>
      <w:r>
        <w:rPr>
          <w:rFonts w:ascii="LatienneTCE-Medi" w:hAnsi="LatienneTCE-Medi" w:cs="Times New Roman"/>
          <w:color w:val="0066FF"/>
          <w:sz w:val="28"/>
          <w:szCs w:val="28"/>
          <w:lang w:eastAsia="sk-SK"/>
        </w:rPr>
        <w:t xml:space="preserve"> </w:t>
      </w:r>
    </w:p>
    <w:p w14:paraId="3BC4446B" w14:textId="77777777" w:rsidR="004175D0" w:rsidRDefault="004175D0" w:rsidP="004175D0">
      <w:pPr>
        <w:tabs>
          <w:tab w:val="left" w:pos="426"/>
        </w:tabs>
        <w:suppressAutoHyphens w:val="0"/>
        <w:rPr>
          <w:sz w:val="20"/>
          <w:szCs w:val="20"/>
        </w:rPr>
      </w:pPr>
      <w:r>
        <w:rPr>
          <w:rFonts w:ascii="LatienneTCE-Medi" w:eastAsia="LatienneTCE-Medi" w:hAnsi="LatienneTCE-Medi" w:cs="LatienneTCE-Medi"/>
          <w:color w:val="0070C0"/>
          <w:sz w:val="36"/>
          <w:szCs w:val="36"/>
          <w:lang w:eastAsia="sk-SK"/>
        </w:rPr>
        <w:t xml:space="preserve"> </w:t>
      </w:r>
    </w:p>
    <w:p w14:paraId="37814E13" w14:textId="2549E6B2" w:rsidR="004175D0" w:rsidRDefault="004175D0" w:rsidP="004175D0">
      <w:pPr>
        <w:rPr>
          <w:rFonts w:ascii="LatienneTCE-Medi" w:eastAsia="LatienneTCE-Medi" w:hAnsi="LatienneTCE-Medi" w:cs="Arial"/>
          <w:bCs/>
          <w:sz w:val="22"/>
          <w:szCs w:val="22"/>
        </w:rPr>
      </w:pPr>
      <w:r>
        <w:rPr>
          <w:rFonts w:ascii="LatienneTCE-Medi" w:eastAsia="LatienneTCE-Medi" w:hAnsi="LatienneTCE-Medi" w:cs="Arial"/>
          <w:bCs/>
          <w:sz w:val="22"/>
          <w:szCs w:val="22"/>
        </w:rPr>
        <w:t xml:space="preserve">Na odborný regionálny seminár je potrebné </w:t>
      </w:r>
    </w:p>
    <w:p w14:paraId="769D0990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  <w:r>
        <w:rPr>
          <w:rFonts w:ascii="LatienneTCE-Medi" w:eastAsia="LatienneTCE-Medi" w:hAnsi="LatienneTCE-Medi" w:cs="Arial"/>
          <w:bCs/>
          <w:sz w:val="22"/>
          <w:szCs w:val="22"/>
        </w:rPr>
        <w:t>prihlásiť sa elektronicky cez portál SK SaPA</w:t>
      </w:r>
    </w:p>
    <w:p w14:paraId="0184D147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F5D3CED" w14:textId="77777777" w:rsidR="004175D0" w:rsidRDefault="004175D0" w:rsidP="004175D0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16F7296B" w14:textId="77777777" w:rsidR="004175D0" w:rsidRDefault="004175D0" w:rsidP="004175D0">
      <w:pPr>
        <w:tabs>
          <w:tab w:val="left" w:pos="42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Konferenčný poplatok:</w:t>
      </w:r>
    </w:p>
    <w:p w14:paraId="22FC9A3B" w14:textId="77777777" w:rsidR="004175D0" w:rsidRDefault="004175D0" w:rsidP="004175D0">
      <w:pPr>
        <w:tabs>
          <w:tab w:val="left" w:pos="426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člen SK  SaPA      5,- €, </w:t>
      </w:r>
    </w:p>
    <w:p w14:paraId="4FB5914A" w14:textId="77777777" w:rsidR="004175D0" w:rsidRDefault="004175D0" w:rsidP="004175D0">
      <w:pPr>
        <w:tabs>
          <w:tab w:val="left" w:pos="426"/>
        </w:tabs>
        <w:suppressAutoHyphens w:val="0"/>
        <w:rPr>
          <w:b/>
          <w:sz w:val="22"/>
          <w:szCs w:val="22"/>
        </w:rPr>
      </w:pPr>
      <w:r>
        <w:rPr>
          <w:sz w:val="22"/>
          <w:szCs w:val="22"/>
        </w:rPr>
        <w:t>pri registrácií predložiť</w:t>
      </w:r>
      <w:r>
        <w:rPr>
          <w:b/>
          <w:sz w:val="22"/>
          <w:szCs w:val="22"/>
        </w:rPr>
        <w:t xml:space="preserve"> doklady o zaplatení </w:t>
      </w:r>
    </w:p>
    <w:p w14:paraId="0393A525" w14:textId="77777777" w:rsidR="004175D0" w:rsidRDefault="004175D0" w:rsidP="004175D0">
      <w:pPr>
        <w:tabs>
          <w:tab w:val="left" w:pos="426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členských  príspevkov, </w:t>
      </w:r>
    </w:p>
    <w:p w14:paraId="52332713" w14:textId="77777777" w:rsidR="004175D0" w:rsidRPr="00BD44FC" w:rsidRDefault="004175D0" w:rsidP="004175D0">
      <w:pPr>
        <w:tabs>
          <w:tab w:val="left" w:pos="426"/>
        </w:tabs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  <w:r>
        <w:rPr>
          <w:sz w:val="22"/>
          <w:szCs w:val="22"/>
        </w:rPr>
        <w:t xml:space="preserve">pri nepredložení </w:t>
      </w:r>
      <w:r>
        <w:rPr>
          <w:b/>
          <w:sz w:val="22"/>
          <w:szCs w:val="22"/>
        </w:rPr>
        <w:t>–</w:t>
      </w:r>
      <w:r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 xml:space="preserve">poplatok   </w:t>
      </w:r>
      <w:r>
        <w:rPr>
          <w:b/>
          <w:sz w:val="22"/>
          <w:szCs w:val="22"/>
        </w:rPr>
        <w:t>10,-€</w:t>
      </w:r>
    </w:p>
    <w:p w14:paraId="0F6EEB4F" w14:textId="77777777" w:rsidR="004175D0" w:rsidRDefault="004175D0" w:rsidP="004175D0">
      <w:pPr>
        <w:ind w:left="720"/>
        <w:jc w:val="both"/>
        <w:rPr>
          <w:b/>
          <w:sz w:val="22"/>
          <w:szCs w:val="22"/>
        </w:rPr>
      </w:pPr>
    </w:p>
    <w:p w14:paraId="7345947C" w14:textId="77777777" w:rsidR="00BE4DDF" w:rsidRDefault="004175D0" w:rsidP="004175D0">
      <w:pPr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 xml:space="preserve"> nečlen SK SaPA     10,- € </w:t>
      </w:r>
      <w:r>
        <w:rPr>
          <w:sz w:val="22"/>
          <w:szCs w:val="22"/>
        </w:rPr>
        <w:t xml:space="preserve"> </w:t>
      </w:r>
    </w:p>
    <w:p w14:paraId="2D45DC4A" w14:textId="79CC47E8" w:rsidR="004175D0" w:rsidRPr="00C87A22" w:rsidRDefault="00580F0B" w:rsidP="004175D0">
      <w:pPr>
        <w:suppressAutoHyphens w:val="0"/>
        <w:rPr>
          <w:rFonts w:ascii="LatienneTCE-Medi" w:hAnsi="LatienneTCE-Medi" w:cs="Times New Roman"/>
          <w:b/>
          <w:bCs/>
          <w:color w:val="0070C0"/>
          <w:sz w:val="22"/>
          <w:szCs w:val="22"/>
          <w:lang w:eastAsia="sk-SK"/>
        </w:rPr>
      </w:pPr>
      <w:r>
        <w:rPr>
          <w:b/>
          <w:bCs/>
          <w:sz w:val="22"/>
          <w:szCs w:val="22"/>
        </w:rPr>
        <w:t xml:space="preserve"> </w:t>
      </w:r>
      <w:r w:rsidR="00BE4DDF" w:rsidRPr="00C87A22">
        <w:rPr>
          <w:b/>
          <w:bCs/>
          <w:sz w:val="22"/>
          <w:szCs w:val="22"/>
        </w:rPr>
        <w:t>konferenčný poplatok splatný na mieste</w:t>
      </w:r>
      <w:r w:rsidR="004175D0" w:rsidRPr="00C87A22">
        <w:rPr>
          <w:b/>
          <w:bCs/>
          <w:sz w:val="22"/>
          <w:szCs w:val="22"/>
        </w:rPr>
        <w:t xml:space="preserve">    </w:t>
      </w:r>
    </w:p>
    <w:p w14:paraId="6C20CB43" w14:textId="77777777" w:rsidR="004175D0" w:rsidRDefault="004175D0" w:rsidP="004175D0">
      <w:pPr>
        <w:suppressAutoHyphens w:val="0"/>
        <w:rPr>
          <w:rFonts w:ascii="LatienneTCE-Medi" w:hAnsi="LatienneTCE-Medi" w:cs="Times New Roman"/>
          <w:b/>
          <w:color w:val="0070C0"/>
          <w:sz w:val="22"/>
          <w:szCs w:val="22"/>
          <w:lang w:eastAsia="sk-SK"/>
        </w:rPr>
      </w:pPr>
    </w:p>
    <w:p w14:paraId="4122B503" w14:textId="77777777" w:rsidR="004175D0" w:rsidRDefault="004175D0" w:rsidP="004175D0">
      <w:pPr>
        <w:suppressAutoHyphens w:val="0"/>
        <w:rPr>
          <w:rFonts w:ascii="LatienneTCE-Medi" w:hAnsi="LatienneTCE-Medi" w:cs="Times New Roman"/>
          <w:color w:val="0070C0"/>
          <w:sz w:val="20"/>
          <w:szCs w:val="20"/>
          <w:lang w:eastAsia="sk-SK"/>
        </w:rPr>
      </w:pPr>
    </w:p>
    <w:p w14:paraId="6B870EAD" w14:textId="77777777" w:rsidR="004175D0" w:rsidRDefault="004175D0" w:rsidP="004175D0">
      <w:pPr>
        <w:suppressAutoHyphens w:val="0"/>
        <w:jc w:val="center"/>
        <w:rPr>
          <w:rFonts w:ascii="LatienneTCE-Medi" w:hAnsi="LatienneTCE-Medi" w:cs="LatienneTCE-Medi"/>
          <w:b/>
          <w:bCs/>
          <w:i/>
        </w:rPr>
      </w:pPr>
    </w:p>
    <w:p w14:paraId="57FCC546" w14:textId="77777777" w:rsidR="00B0656A" w:rsidRDefault="00B0656A" w:rsidP="00B0656A">
      <w:pPr>
        <w:suppressAutoHyphens w:val="0"/>
        <w:rPr>
          <w:rFonts w:ascii="LatienneTCE-Medi" w:hAnsi="LatienneTCE-Medi" w:cs="LatienneTCE-Medi"/>
          <w:b/>
          <w:bCs/>
          <w:i/>
        </w:rPr>
      </w:pPr>
    </w:p>
    <w:p w14:paraId="155113F9" w14:textId="77777777" w:rsidR="00272937" w:rsidRDefault="00272937" w:rsidP="00272937">
      <w:pPr>
        <w:rPr>
          <w:rFonts w:cs="Times New Roman"/>
          <w:color w:val="000000"/>
          <w:sz w:val="22"/>
          <w:szCs w:val="22"/>
          <w:lang w:eastAsia="sk-SK"/>
        </w:rPr>
      </w:pPr>
      <w:r>
        <w:rPr>
          <w:rFonts w:cs="Times New Roman"/>
          <w:color w:val="000000"/>
          <w:sz w:val="22"/>
          <w:szCs w:val="22"/>
          <w:lang w:eastAsia="sk-SK"/>
        </w:rPr>
        <w:t xml:space="preserve">Seminár je zaradený do systému hodnotenia </w:t>
      </w:r>
    </w:p>
    <w:p w14:paraId="6277E756" w14:textId="77777777" w:rsidR="00272937" w:rsidRPr="00400E9C" w:rsidRDefault="00272937" w:rsidP="00272937">
      <w:pPr>
        <w:rPr>
          <w:rFonts w:cs="Times New Roman"/>
          <w:color w:val="000000"/>
          <w:sz w:val="22"/>
          <w:szCs w:val="22"/>
          <w:lang w:eastAsia="sk-SK"/>
        </w:rPr>
      </w:pPr>
      <w:r>
        <w:rPr>
          <w:rFonts w:cs="Times New Roman"/>
          <w:color w:val="000000"/>
          <w:sz w:val="22"/>
          <w:szCs w:val="22"/>
          <w:lang w:eastAsia="sk-SK"/>
        </w:rPr>
        <w:t>účasti na odborných vedeckých podujatiach</w:t>
      </w:r>
    </w:p>
    <w:p w14:paraId="2CF2AAB5" w14:textId="77777777" w:rsidR="00272937" w:rsidRDefault="00272937" w:rsidP="00272937">
      <w:pPr>
        <w:widowControl w:val="0"/>
        <w:shd w:val="clear" w:color="auto" w:fill="FFFFFF"/>
        <w:overflowPunct w:val="0"/>
        <w:autoSpaceDE w:val="0"/>
        <w:ind w:right="102"/>
        <w:rPr>
          <w:rFonts w:cs="Times New Roman"/>
          <w:sz w:val="22"/>
          <w:szCs w:val="22"/>
        </w:rPr>
      </w:pPr>
    </w:p>
    <w:p w14:paraId="748B9AC5" w14:textId="77777777" w:rsidR="00272937" w:rsidRDefault="00272937" w:rsidP="00272937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Times New Roman"/>
          <w:b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Účastníkom odborného seminára budú </w:t>
      </w:r>
    </w:p>
    <w:p w14:paraId="2ABD8089" w14:textId="77777777" w:rsidR="00272937" w:rsidRDefault="00272937" w:rsidP="00272937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Times New Roman"/>
          <w:b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  priznané kredity v zmysle vyhlášky </w:t>
      </w:r>
    </w:p>
    <w:p w14:paraId="42F8E31B" w14:textId="77777777" w:rsidR="00272937" w:rsidRDefault="00272937" w:rsidP="00272937">
      <w:pPr>
        <w:widowControl w:val="0"/>
        <w:shd w:val="clear" w:color="auto" w:fill="FFFFFF"/>
        <w:overflowPunct w:val="0"/>
        <w:autoSpaceDE w:val="0"/>
        <w:ind w:left="-142" w:right="102" w:firstLine="142"/>
        <w:rPr>
          <w:rFonts w:ascii="LatienneTCE-Medi" w:eastAsia="LatienneTCE-Medi" w:hAnsi="LatienneTCE-Medi" w:cs="LatienneTCE-Medi"/>
          <w:bCs/>
          <w:sz w:val="22"/>
          <w:szCs w:val="22"/>
        </w:rPr>
      </w:pPr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 xml:space="preserve">           MZ SR  č. 74/2019  </w:t>
      </w:r>
      <w:proofErr w:type="spellStart"/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>Z.z</w:t>
      </w:r>
      <w:proofErr w:type="spellEnd"/>
      <w:r>
        <w:rPr>
          <w:rFonts w:ascii="LatienneTCE-Medi" w:eastAsia="LatienneTCE-Medi" w:hAnsi="LatienneTCE-Medi" w:cs="Times New Roman"/>
          <w:b/>
          <w:bCs/>
          <w:sz w:val="22"/>
          <w:szCs w:val="22"/>
        </w:rPr>
        <w:t>.</w:t>
      </w:r>
    </w:p>
    <w:p w14:paraId="612D6CC1" w14:textId="77777777" w:rsidR="00272937" w:rsidRDefault="00272937" w:rsidP="00272937">
      <w:pPr>
        <w:jc w:val="center"/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26B2222C" w14:textId="77777777" w:rsidR="00272937" w:rsidRDefault="00272937" w:rsidP="00272937">
      <w:pPr>
        <w:jc w:val="center"/>
        <w:rPr>
          <w:rFonts w:ascii="LatienneTCE-Medi" w:hAnsi="LatienneTCE-Medi" w:cs="LatienneTCE-Medi"/>
          <w:b/>
          <w:bCs/>
          <w:i/>
          <w:sz w:val="22"/>
          <w:szCs w:val="22"/>
          <w:lang w:eastAsia="sk-SK"/>
        </w:rPr>
      </w:pPr>
    </w:p>
    <w:p w14:paraId="5E811DFB" w14:textId="77777777" w:rsidR="00C87A22" w:rsidRDefault="00C87A22" w:rsidP="00586504">
      <w:pPr>
        <w:suppressAutoHyphens w:val="0"/>
        <w:jc w:val="center"/>
        <w:rPr>
          <w:rFonts w:cs="Times New Roman"/>
          <w:b/>
          <w:i/>
          <w:sz w:val="22"/>
          <w:szCs w:val="22"/>
          <w:lang w:eastAsia="sk-SK"/>
        </w:rPr>
      </w:pPr>
    </w:p>
    <w:p w14:paraId="56245B0E" w14:textId="77777777" w:rsidR="004A384D" w:rsidRDefault="004A384D" w:rsidP="00586504">
      <w:pPr>
        <w:suppressAutoHyphens w:val="0"/>
        <w:jc w:val="center"/>
        <w:rPr>
          <w:rFonts w:ascii="LatienneTCE-Medi" w:hAnsi="LatienneTCE-Medi" w:cs="LatienneTCE-Medi"/>
          <w:b/>
          <w:bCs/>
          <w:i/>
        </w:rPr>
      </w:pPr>
    </w:p>
    <w:p w14:paraId="5B90FEED" w14:textId="77777777" w:rsidR="00272937" w:rsidRDefault="00272937" w:rsidP="00586504">
      <w:pPr>
        <w:suppressAutoHyphens w:val="0"/>
        <w:jc w:val="center"/>
        <w:rPr>
          <w:rFonts w:ascii="LatienneTCE-Medi" w:hAnsi="LatienneTCE-Medi" w:cs="LatienneTCE-Medi"/>
          <w:b/>
          <w:bCs/>
          <w:i/>
        </w:rPr>
      </w:pPr>
    </w:p>
    <w:p w14:paraId="72C826AF" w14:textId="2FB0A900" w:rsidR="00374F58" w:rsidRPr="009E2AC7" w:rsidRDefault="00374F58" w:rsidP="004A384D">
      <w:pPr>
        <w:suppressAutoHyphens w:val="0"/>
        <w:jc w:val="center"/>
        <w:rPr>
          <w:b/>
          <w:bCs/>
          <w:sz w:val="20"/>
          <w:szCs w:val="20"/>
        </w:rPr>
      </w:pPr>
      <w:r>
        <w:rPr>
          <w:rFonts w:ascii="LatienneTCE-Medi" w:hAnsi="LatienneTCE-Medi" w:cs="LatienneTCE-Medi"/>
          <w:b/>
          <w:bCs/>
          <w:i/>
        </w:rPr>
        <w:lastRenderedPageBreak/>
        <w:t xml:space="preserve">Regionálna komora sestier a pôrodných </w:t>
      </w:r>
      <w:r w:rsidR="004A384D">
        <w:rPr>
          <w:rFonts w:ascii="LatienneTCE-Medi" w:hAnsi="LatienneTCE-Medi" w:cs="LatienneTCE-Medi"/>
          <w:b/>
          <w:bCs/>
          <w:i/>
        </w:rPr>
        <w:t xml:space="preserve">  </w:t>
      </w:r>
      <w:r>
        <w:rPr>
          <w:rFonts w:ascii="LatienneTCE-Medi" w:hAnsi="LatienneTCE-Medi" w:cs="LatienneTCE-Medi"/>
          <w:b/>
          <w:bCs/>
          <w:i/>
        </w:rPr>
        <w:t>asistentiek Košice I a Košice II</w:t>
      </w:r>
    </w:p>
    <w:p w14:paraId="0380F619" w14:textId="77777777" w:rsidR="00374F58" w:rsidRDefault="00374F58" w:rsidP="006543C1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056DCD91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Vás  srdečne pozýva</w:t>
      </w:r>
    </w:p>
    <w:p w14:paraId="27B56D40" w14:textId="77777777" w:rsidR="00843727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na odborný  seminár</w:t>
      </w:r>
    </w:p>
    <w:p w14:paraId="52127D29" w14:textId="3A9F2A30" w:rsidR="00E644EE" w:rsidRDefault="00E644EE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 xml:space="preserve">pri príležitosti Medzinárodného dňa sestier </w:t>
      </w:r>
    </w:p>
    <w:p w14:paraId="6073D4CB" w14:textId="5238DCC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 xml:space="preserve"> </w:t>
      </w:r>
      <w:r w:rsidR="00843727">
        <w:rPr>
          <w:rFonts w:ascii="LatienneTCE-Medi" w:hAnsi="LatienneTCE-Medi" w:cs="LatienneTCE-Medi"/>
          <w:b/>
          <w:bCs/>
          <w:i/>
        </w:rPr>
        <w:t xml:space="preserve">Košický </w:t>
      </w:r>
      <w:r>
        <w:rPr>
          <w:rFonts w:ascii="LatienneTCE-Medi" w:hAnsi="LatienneTCE-Medi" w:cs="LatienneTCE-Medi"/>
          <w:b/>
          <w:bCs/>
          <w:i/>
        </w:rPr>
        <w:t xml:space="preserve"> d</w:t>
      </w:r>
      <w:r w:rsidR="00843727">
        <w:rPr>
          <w:rFonts w:ascii="LatienneTCE-Medi" w:hAnsi="LatienneTCE-Medi" w:cs="LatienneTCE-Medi"/>
          <w:b/>
          <w:bCs/>
          <w:i/>
        </w:rPr>
        <w:t>eň</w:t>
      </w:r>
      <w:r>
        <w:rPr>
          <w:rFonts w:ascii="LatienneTCE-Medi" w:hAnsi="LatienneTCE-Medi" w:cs="LatienneTCE-Medi"/>
          <w:b/>
          <w:bCs/>
          <w:i/>
        </w:rPr>
        <w:t xml:space="preserve"> sestier,</w:t>
      </w:r>
    </w:p>
    <w:p w14:paraId="56B75486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52327E48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ktorý sa bude konať</w:t>
      </w:r>
    </w:p>
    <w:p w14:paraId="762375AE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49669922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dňa</w:t>
      </w:r>
    </w:p>
    <w:p w14:paraId="000D9030" w14:textId="77777777" w:rsidR="00374F58" w:rsidRDefault="00374F58">
      <w:pPr>
        <w:jc w:val="center"/>
        <w:rPr>
          <w:rFonts w:ascii="LatienneTCE-Medi" w:hAnsi="LatienneTCE-Medi" w:cs="LatienneTCE-Medi"/>
          <w:b/>
          <w:bCs/>
          <w:i/>
        </w:rPr>
      </w:pPr>
    </w:p>
    <w:p w14:paraId="236124F5" w14:textId="69E45DB6" w:rsidR="00374F58" w:rsidRDefault="00014DDE">
      <w:pPr>
        <w:spacing w:after="20"/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13. júna 2025</w:t>
      </w:r>
      <w:r w:rsidR="00374F58">
        <w:rPr>
          <w:rFonts w:ascii="LatienneTCE-Medi" w:hAnsi="LatienneTCE-Medi" w:cs="LatienneTCE-Medi"/>
          <w:b/>
          <w:bCs/>
          <w:i/>
        </w:rPr>
        <w:t xml:space="preserve">  </w:t>
      </w:r>
      <w:r w:rsidR="006637A3">
        <w:rPr>
          <w:rFonts w:ascii="LatienneTCE-Medi" w:hAnsi="LatienneTCE-Medi" w:cs="LatienneTCE-Medi"/>
          <w:b/>
          <w:bCs/>
          <w:i/>
        </w:rPr>
        <w:t>s</w:t>
      </w:r>
      <w:r w:rsidR="00374F58">
        <w:rPr>
          <w:rFonts w:ascii="LatienneTCE-Medi" w:hAnsi="LatienneTCE-Medi" w:cs="LatienneTCE-Medi"/>
          <w:b/>
          <w:bCs/>
          <w:i/>
        </w:rPr>
        <w:t>o začiatkom o 9.00 hodine</w:t>
      </w:r>
    </w:p>
    <w:p w14:paraId="60D3823A" w14:textId="77777777" w:rsidR="00374F58" w:rsidRDefault="00374F58">
      <w:pPr>
        <w:spacing w:after="20"/>
        <w:ind w:right="108"/>
        <w:jc w:val="center"/>
        <w:rPr>
          <w:rFonts w:ascii="LatienneTCE-Medi" w:hAnsi="LatienneTCE-Medi" w:cs="LatienneTCE-Medi"/>
          <w:b/>
          <w:bCs/>
          <w:i/>
        </w:rPr>
      </w:pPr>
      <w:r>
        <w:rPr>
          <w:rFonts w:ascii="LatienneTCE-Medi" w:hAnsi="LatienneTCE-Medi" w:cs="LatienneTCE-Medi"/>
          <w:b/>
          <w:bCs/>
          <w:i/>
        </w:rPr>
        <w:t>v Dome umenia, Moyzesova 66, Košice</w:t>
      </w:r>
    </w:p>
    <w:p w14:paraId="2D37CD87" w14:textId="77777777" w:rsidR="00374F58" w:rsidRDefault="00374F58">
      <w:pPr>
        <w:spacing w:after="20"/>
        <w:jc w:val="center"/>
        <w:rPr>
          <w:rFonts w:ascii="LatienneTCE-Medi" w:hAnsi="LatienneTCE-Medi" w:cs="LatienneTCE-Medi"/>
          <w:b/>
          <w:bCs/>
          <w:i/>
        </w:rPr>
      </w:pPr>
    </w:p>
    <w:p w14:paraId="50D48171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0376BE3F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7D6D2377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5EF68F5A" w14:textId="77777777" w:rsidR="00374F58" w:rsidRDefault="00374F58">
      <w:pPr>
        <w:rPr>
          <w:rFonts w:ascii="LatienneTCE-Medi" w:hAnsi="LatienneTCE-Medi" w:cs="LatienneTCE-Medi"/>
          <w:b/>
          <w:bCs/>
          <w:color w:val="0070C0"/>
          <w:sz w:val="22"/>
          <w:szCs w:val="22"/>
        </w:rPr>
      </w:pPr>
    </w:p>
    <w:p w14:paraId="33E66B1A" w14:textId="77777777" w:rsidR="00374F58" w:rsidRPr="005D5F2F" w:rsidRDefault="00374F58">
      <w:pPr>
        <w:rPr>
          <w:rFonts w:cs="Times New Roman"/>
          <w:b/>
          <w:bCs/>
          <w:sz w:val="20"/>
          <w:szCs w:val="20"/>
        </w:rPr>
      </w:pPr>
      <w:r>
        <w:rPr>
          <w:rFonts w:ascii="LatienneTCE-Medi" w:eastAsia="LatienneTCE-Medi" w:hAnsi="LatienneTCE-Medi" w:cs="LatienneTCE-Medi"/>
          <w:b/>
          <w:bCs/>
          <w:sz w:val="20"/>
          <w:szCs w:val="20"/>
        </w:rPr>
        <w:t xml:space="preserve"> </w:t>
      </w:r>
      <w:r w:rsidRPr="005D5F2F">
        <w:rPr>
          <w:rFonts w:cs="Times New Roman"/>
          <w:b/>
          <w:bCs/>
          <w:sz w:val="20"/>
          <w:szCs w:val="20"/>
        </w:rPr>
        <w:t>08:00 - 08:50       Registrácia účastníkov</w:t>
      </w:r>
    </w:p>
    <w:p w14:paraId="29A7A481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1F5EBD76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655C531E" w14:textId="77777777" w:rsidR="004A384D" w:rsidRDefault="004A384D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3315DB9F" w14:textId="77777777" w:rsidR="004A384D" w:rsidRDefault="004A384D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10970E1E" w14:textId="77777777" w:rsidR="00374F58" w:rsidRPr="005D5F2F" w:rsidRDefault="00374F58">
      <w:pPr>
        <w:rPr>
          <w:rFonts w:cs="Times New Roman"/>
          <w:b/>
          <w:bCs/>
          <w:sz w:val="22"/>
          <w:szCs w:val="22"/>
        </w:rPr>
      </w:pPr>
      <w:r w:rsidRPr="005D5F2F">
        <w:rPr>
          <w:rFonts w:eastAsia="LatienneTCE-Medi" w:cs="Times New Roman"/>
          <w:b/>
          <w:bCs/>
          <w:i/>
          <w:sz w:val="22"/>
          <w:szCs w:val="22"/>
        </w:rPr>
        <w:t xml:space="preserve"> </w:t>
      </w:r>
      <w:r w:rsidRPr="005D5F2F">
        <w:rPr>
          <w:rFonts w:cs="Times New Roman"/>
          <w:b/>
          <w:bCs/>
          <w:i/>
          <w:sz w:val="22"/>
          <w:szCs w:val="22"/>
        </w:rPr>
        <w:t>Program:</w:t>
      </w:r>
    </w:p>
    <w:p w14:paraId="0E055BDC" w14:textId="77777777" w:rsidR="00374F58" w:rsidRPr="005D5F2F" w:rsidRDefault="00374F58">
      <w:pPr>
        <w:rPr>
          <w:rFonts w:cs="Times New Roman"/>
          <w:b/>
          <w:bCs/>
          <w:sz w:val="22"/>
          <w:szCs w:val="22"/>
        </w:rPr>
      </w:pPr>
    </w:p>
    <w:p w14:paraId="7EA1BAEB" w14:textId="77777777" w:rsidR="00374F58" w:rsidRPr="005D5F2F" w:rsidRDefault="00374F58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  <w:r w:rsidRPr="005D5F2F">
        <w:rPr>
          <w:rFonts w:cs="Times New Roman"/>
          <w:bCs/>
          <w:sz w:val="22"/>
          <w:szCs w:val="22"/>
        </w:rPr>
        <w:t>1.  Otvorenie</w:t>
      </w:r>
    </w:p>
    <w:p w14:paraId="1D8CCBD3" w14:textId="77777777" w:rsidR="00374F58" w:rsidRPr="005D5F2F" w:rsidRDefault="00374F58">
      <w:pPr>
        <w:rPr>
          <w:rFonts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  <w:r w:rsidRPr="005D5F2F">
        <w:rPr>
          <w:rFonts w:cs="Times New Roman"/>
          <w:bCs/>
          <w:sz w:val="22"/>
          <w:szCs w:val="22"/>
        </w:rPr>
        <w:t>2.  Príhovory hostí</w:t>
      </w:r>
    </w:p>
    <w:p w14:paraId="7D7F43B0" w14:textId="1A2F7714" w:rsidR="00BE4DDF" w:rsidRPr="005D5F2F" w:rsidRDefault="00BE4DDF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cs="Times New Roman"/>
          <w:bCs/>
          <w:sz w:val="22"/>
          <w:szCs w:val="22"/>
        </w:rPr>
        <w:t xml:space="preserve"> 3.  Výnimočný zdravotník UNLP</w:t>
      </w:r>
    </w:p>
    <w:p w14:paraId="3D741A45" w14:textId="77777777" w:rsidR="00374F58" w:rsidRPr="005D5F2F" w:rsidRDefault="00374F58">
      <w:pPr>
        <w:rPr>
          <w:rFonts w:eastAsia="LatienneTCE-Medi" w:cs="Times New Roman"/>
          <w:bCs/>
          <w:sz w:val="22"/>
          <w:szCs w:val="22"/>
        </w:rPr>
      </w:pPr>
      <w:r w:rsidRPr="005D5F2F">
        <w:rPr>
          <w:rFonts w:eastAsia="LatienneTCE-Medi" w:cs="Times New Roman"/>
          <w:bCs/>
          <w:sz w:val="22"/>
          <w:szCs w:val="22"/>
        </w:rPr>
        <w:t xml:space="preserve"> </w:t>
      </w:r>
    </w:p>
    <w:p w14:paraId="2A20A0E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0C8D37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36491FB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44134A7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048DEF38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41EF742" w14:textId="77777777" w:rsidR="00374F58" w:rsidRDefault="00374F58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300767E" w14:textId="77777777" w:rsidR="00374F58" w:rsidRDefault="00374F58">
      <w:pPr>
        <w:rPr>
          <w:rFonts w:ascii="LatienneTCE-Medi" w:eastAsia="LatienneTCE-Medi" w:hAnsi="LatienneTCE-Medi" w:cs="Arial"/>
          <w:bCs/>
          <w:sz w:val="22"/>
          <w:szCs w:val="22"/>
        </w:rPr>
      </w:pPr>
    </w:p>
    <w:p w14:paraId="03CE9F9C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28CDE35D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D982965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5178F3E3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28313065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021A5FDF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8DCA4EF" w14:textId="77777777" w:rsidR="009E2AC7" w:rsidRDefault="009E2AC7">
      <w:pPr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4F0F75AC" w14:textId="56C51BC7" w:rsidR="00374F58" w:rsidRDefault="00374F58">
      <w:pPr>
        <w:rPr>
          <w:rFonts w:cs="Times New Roman"/>
          <w:bCs/>
          <w:i/>
          <w:sz w:val="22"/>
          <w:szCs w:val="22"/>
        </w:rPr>
      </w:pPr>
      <w:r w:rsidRPr="005D5F2F">
        <w:rPr>
          <w:rFonts w:cs="Times New Roman"/>
          <w:b/>
          <w:bCs/>
          <w:i/>
          <w:sz w:val="22"/>
          <w:szCs w:val="22"/>
        </w:rPr>
        <w:t xml:space="preserve">Odborný program I. blok   </w:t>
      </w:r>
      <w:r w:rsidRPr="005D5F2F">
        <w:rPr>
          <w:rFonts w:cs="Times New Roman"/>
          <w:bCs/>
          <w:i/>
          <w:sz w:val="22"/>
          <w:szCs w:val="22"/>
        </w:rPr>
        <w:t>(9.00 -</w:t>
      </w:r>
      <w:r w:rsidR="00BD44FC" w:rsidRPr="005D5F2F">
        <w:rPr>
          <w:rFonts w:cs="Times New Roman"/>
          <w:bCs/>
          <w:i/>
          <w:sz w:val="22"/>
          <w:szCs w:val="22"/>
        </w:rPr>
        <w:t xml:space="preserve"> </w:t>
      </w:r>
      <w:r w:rsidRPr="005D5F2F">
        <w:rPr>
          <w:rFonts w:cs="Times New Roman"/>
          <w:bCs/>
          <w:i/>
          <w:sz w:val="22"/>
          <w:szCs w:val="22"/>
        </w:rPr>
        <w:t>12.00)</w:t>
      </w:r>
    </w:p>
    <w:p w14:paraId="44AFD899" w14:textId="77777777" w:rsidR="004A384D" w:rsidRPr="005D5F2F" w:rsidRDefault="004A384D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1F222AEB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7CD52E44" w14:textId="77777777" w:rsidR="00374F58" w:rsidRDefault="00374F58">
      <w:pPr>
        <w:rPr>
          <w:rFonts w:ascii="LatienneTCE-Medi" w:hAnsi="LatienneTCE-Medi" w:cs="LatienneTCE-Medi"/>
          <w:b/>
          <w:bCs/>
          <w:i/>
          <w:sz w:val="22"/>
          <w:szCs w:val="22"/>
        </w:rPr>
      </w:pPr>
    </w:p>
    <w:p w14:paraId="40D5F55C" w14:textId="640F7861" w:rsidR="00C8105C" w:rsidRPr="00C8105C" w:rsidRDefault="00C8105C" w:rsidP="00C8105C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18"/>
          <w:szCs w:val="18"/>
          <w:shd w:val="clear" w:color="auto" w:fill="FFFFFF"/>
        </w:rPr>
        <w:t>1.</w:t>
      </w:r>
      <w:r w:rsidR="00BE4DDF" w:rsidRPr="00C8105C">
        <w:rPr>
          <w:b/>
          <w:color w:val="000000"/>
          <w:sz w:val="18"/>
          <w:szCs w:val="18"/>
          <w:shd w:val="clear" w:color="auto" w:fill="FFFFFF"/>
        </w:rPr>
        <w:t> </w:t>
      </w:r>
      <w:r w:rsidRPr="00C8105C">
        <w:rPr>
          <w:b/>
          <w:color w:val="000000"/>
          <w:sz w:val="20"/>
          <w:szCs w:val="20"/>
          <w:shd w:val="clear" w:color="auto" w:fill="FFFFFF"/>
        </w:rPr>
        <w:t>Naše sestry</w:t>
      </w:r>
      <w:r w:rsidRPr="00C8105C">
        <w:rPr>
          <w:b/>
          <w:color w:val="000000"/>
          <w:sz w:val="20"/>
          <w:szCs w:val="20"/>
          <w:shd w:val="clear" w:color="auto" w:fill="FFFFFF"/>
        </w:rPr>
        <w:t>. N</w:t>
      </w:r>
      <w:r w:rsidRPr="00C8105C">
        <w:rPr>
          <w:b/>
          <w:color w:val="000000"/>
          <w:sz w:val="20"/>
          <w:szCs w:val="20"/>
          <w:shd w:val="clear" w:color="auto" w:fill="FFFFFF"/>
        </w:rPr>
        <w:t>aša budúcnosť. Starostlivosť o sestry posilňuje ekonomiky.“</w:t>
      </w:r>
    </w:p>
    <w:p w14:paraId="6B32980C" w14:textId="456F23EF" w:rsidR="00C8105C" w:rsidRPr="002E1AB8" w:rsidRDefault="00C8105C" w:rsidP="00C8105C">
      <w:pPr>
        <w:pStyle w:val="Odstavecseseznamem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2E1AB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Pr="002E1AB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</w:t>
      </w:r>
      <w:r w:rsidR="0027293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2E1AB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E1AB8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Lucia </w:t>
      </w:r>
      <w:proofErr w:type="spellStart"/>
      <w:r w:rsidRPr="002E1AB8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Dimunová</w:t>
      </w:r>
      <w:proofErr w:type="spellEnd"/>
      <w:r w:rsidRPr="002E1AB8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    (UPJŠ)</w:t>
      </w:r>
      <w:r w:rsidRPr="002E1AB8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 </w:t>
      </w:r>
    </w:p>
    <w:p w14:paraId="5E2533E9" w14:textId="56B9ED68" w:rsidR="00BE4DDF" w:rsidRPr="00C8105C" w:rsidRDefault="00BE4DDF" w:rsidP="00C8105C">
      <w:pPr>
        <w:pStyle w:val="Odstavecseseznamem"/>
        <w:spacing w:line="240" w:lineRule="auto"/>
        <w:ind w:left="360"/>
        <w:rPr>
          <w:rFonts w:ascii="Times New Roman" w:hAnsi="Times New Roman"/>
          <w:b/>
          <w:i/>
          <w:sz w:val="20"/>
          <w:szCs w:val="20"/>
          <w:lang w:eastAsia="sk-SK"/>
        </w:rPr>
      </w:pPr>
      <w:r w:rsidRPr="00C8105C">
        <w:rPr>
          <w:rFonts w:ascii="Times New Roman" w:eastAsia="Times New Roman" w:hAnsi="Times New Roman"/>
          <w:bCs/>
          <w:i/>
          <w:iCs/>
          <w:sz w:val="20"/>
          <w:szCs w:val="20"/>
          <w:lang w:eastAsia="sk-SK"/>
        </w:rPr>
        <w:t xml:space="preserve"> </w:t>
      </w:r>
      <w:r w:rsidRPr="00C8105C">
        <w:rPr>
          <w:rFonts w:ascii="Times New Roman" w:hAnsi="Times New Roman"/>
          <w:bCs/>
          <w:i/>
          <w:iCs/>
          <w:sz w:val="20"/>
          <w:szCs w:val="20"/>
          <w:lang w:eastAsia="sk-SK"/>
        </w:rPr>
        <w:t xml:space="preserve">              </w:t>
      </w:r>
      <w:r w:rsidRPr="00C8105C">
        <w:rPr>
          <w:rFonts w:ascii="Times New Roman" w:hAnsi="Times New Roman"/>
          <w:b/>
          <w:i/>
          <w:sz w:val="20"/>
          <w:szCs w:val="20"/>
          <w:lang w:eastAsia="sk-SK"/>
        </w:rPr>
        <w:t xml:space="preserve">                                                              </w:t>
      </w:r>
    </w:p>
    <w:p w14:paraId="36CA1F99" w14:textId="6F8E01B4" w:rsidR="00C8105C" w:rsidRPr="00C8105C" w:rsidRDefault="00C8105C" w:rsidP="00C8105C">
      <w:pPr>
        <w:rPr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2.</w:t>
      </w:r>
      <w:r w:rsidR="00BE4DDF" w:rsidRPr="00C8105C">
        <w:rPr>
          <w:b/>
          <w:color w:val="000000"/>
          <w:sz w:val="20"/>
          <w:szCs w:val="20"/>
          <w:shd w:val="clear" w:color="auto" w:fill="FFFFFF"/>
        </w:rPr>
        <w:t> </w:t>
      </w:r>
      <w:r w:rsidRPr="00C8105C">
        <w:rPr>
          <w:b/>
          <w:color w:val="000000"/>
          <w:sz w:val="20"/>
          <w:szCs w:val="20"/>
          <w:shd w:val="clear" w:color="auto" w:fill="FFFFFF"/>
        </w:rPr>
        <w:t xml:space="preserve">Deň na klinike hematológie a </w:t>
      </w:r>
      <w:proofErr w:type="spellStart"/>
      <w:r w:rsidRPr="00C8105C">
        <w:rPr>
          <w:b/>
          <w:color w:val="000000"/>
          <w:sz w:val="20"/>
          <w:szCs w:val="20"/>
          <w:shd w:val="clear" w:color="auto" w:fill="FFFFFF"/>
        </w:rPr>
        <w:t>onkohematológie</w:t>
      </w:r>
      <w:proofErr w:type="spellEnd"/>
      <w:r w:rsidRPr="00C8105C">
        <w:rPr>
          <w:b/>
          <w:color w:val="000000"/>
          <w:sz w:val="20"/>
          <w:szCs w:val="20"/>
          <w:shd w:val="clear" w:color="auto" w:fill="FFFFFF"/>
        </w:rPr>
        <w:t>.</w:t>
      </w:r>
      <w:r w:rsidRPr="00C8105C">
        <w:rPr>
          <w:color w:val="000000"/>
          <w:sz w:val="20"/>
          <w:szCs w:val="20"/>
          <w:shd w:val="clear" w:color="auto" w:fill="FFFFFF"/>
        </w:rPr>
        <w:t xml:space="preserve">   </w:t>
      </w:r>
    </w:p>
    <w:p w14:paraId="032B0EC5" w14:textId="27503181" w:rsidR="00C8105C" w:rsidRDefault="00C8105C" w:rsidP="00C8105C">
      <w:pPr>
        <w:rPr>
          <w:rFonts w:cs="Times New Roman"/>
          <w:color w:val="000000"/>
          <w:shd w:val="clear" w:color="auto" w:fill="FFFFFF"/>
        </w:rPr>
      </w:pPr>
      <w:r w:rsidRPr="00F425A3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          </w:t>
      </w:r>
      <w:r w:rsidRPr="00272937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Alena Halušková, Justína Knoteková</w:t>
      </w:r>
      <w:r>
        <w:rPr>
          <w:rFonts w:cs="Times New Roman"/>
          <w:color w:val="000000"/>
          <w:shd w:val="clear" w:color="auto" w:fill="FFFFFF"/>
        </w:rPr>
        <w:t xml:space="preserve">    </w:t>
      </w:r>
      <w:r w:rsidR="00272937">
        <w:rPr>
          <w:rFonts w:cs="Times New Roman"/>
          <w:color w:val="000000"/>
          <w:shd w:val="clear" w:color="auto" w:fill="FFFFFF"/>
        </w:rPr>
        <w:t>(</w:t>
      </w:r>
      <w:r w:rsidRPr="00580F0B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UNLP</w:t>
      </w:r>
      <w:r w:rsidR="00272937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)</w:t>
      </w:r>
    </w:p>
    <w:p w14:paraId="544560EA" w14:textId="25E25B68" w:rsidR="00BE4DDF" w:rsidRDefault="00BE4DDF" w:rsidP="00C8105C">
      <w:pPr>
        <w:ind w:left="360"/>
        <w:rPr>
          <w:rFonts w:cs="Times New Roman"/>
          <w:b/>
          <w:i/>
          <w:sz w:val="20"/>
          <w:szCs w:val="20"/>
        </w:rPr>
      </w:pPr>
    </w:p>
    <w:p w14:paraId="1925A9F7" w14:textId="0BCF3DC9" w:rsidR="00BE4DDF" w:rsidRDefault="00BE4DDF" w:rsidP="00C8105C">
      <w:pPr>
        <w:ind w:left="142" w:hanging="284"/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                                           </w:t>
      </w:r>
      <w:r w:rsidR="00EC536E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54F62F03" w14:textId="6E4F08FC" w:rsidR="00BE4DDF" w:rsidRPr="002E1AB8" w:rsidRDefault="002E1AB8" w:rsidP="002E1AB8">
      <w:pPr>
        <w:rPr>
          <w:b/>
          <w:bCs/>
          <w:i/>
          <w:sz w:val="20"/>
          <w:szCs w:val="20"/>
        </w:rPr>
      </w:pPr>
      <w:r>
        <w:rPr>
          <w:b/>
          <w:color w:val="000000"/>
          <w:sz w:val="20"/>
          <w:szCs w:val="20"/>
          <w:shd w:val="clear" w:color="auto" w:fill="FFFFFF"/>
        </w:rPr>
        <w:t>3.</w:t>
      </w:r>
      <w:r w:rsidRPr="002E1AB8">
        <w:rPr>
          <w:b/>
          <w:color w:val="000000"/>
          <w:sz w:val="20"/>
          <w:szCs w:val="20"/>
          <w:shd w:val="clear" w:color="auto" w:fill="FFFFFF"/>
        </w:rPr>
        <w:t xml:space="preserve">Zelené potraviny- </w:t>
      </w:r>
      <w:proofErr w:type="spellStart"/>
      <w:r w:rsidRPr="002E1AB8">
        <w:rPr>
          <w:b/>
          <w:color w:val="000000"/>
          <w:sz w:val="20"/>
          <w:szCs w:val="20"/>
          <w:shd w:val="clear" w:color="auto" w:fill="FFFFFF"/>
        </w:rPr>
        <w:t>superpotraviny</w:t>
      </w:r>
      <w:proofErr w:type="spellEnd"/>
      <w:r w:rsidRPr="002E1AB8">
        <w:rPr>
          <w:b/>
          <w:color w:val="000000"/>
          <w:sz w:val="20"/>
          <w:szCs w:val="20"/>
          <w:shd w:val="clear" w:color="auto" w:fill="FFFFFF"/>
        </w:rPr>
        <w:t>- zázrak dnešnej doby</w:t>
      </w:r>
      <w:r w:rsidR="00BE4DDF" w:rsidRPr="002E1AB8">
        <w:rPr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03766E78" w14:textId="69F72F29" w:rsidR="00BE4DDF" w:rsidRPr="00EC536E" w:rsidRDefault="00BE4DDF" w:rsidP="004A384D">
      <w:pPr>
        <w:pStyle w:val="Odstavecseseznamem"/>
        <w:spacing w:line="240" w:lineRule="auto"/>
        <w:ind w:left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2E1AB8">
        <w:rPr>
          <w:rFonts w:ascii="Times New Roman" w:hAnsi="Times New Roman"/>
          <w:i/>
          <w:sz w:val="20"/>
          <w:szCs w:val="20"/>
        </w:rPr>
        <w:t>Andrea Timková</w:t>
      </w:r>
      <w:r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r w:rsidR="002E1AB8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(A7S </w:t>
      </w:r>
      <w:proofErr w:type="spellStart"/>
      <w:r w:rsidR="002E1AB8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Lifestyle</w:t>
      </w:r>
      <w:proofErr w:type="spellEnd"/>
      <w:r w:rsidR="002E1AB8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E1AB8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s.r.o</w:t>
      </w:r>
      <w:proofErr w:type="spellEnd"/>
      <w:r w:rsidR="002E1AB8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</w:rPr>
        <w:t>.)</w:t>
      </w:r>
    </w:p>
    <w:p w14:paraId="7178A60A" w14:textId="77777777" w:rsidR="00BE4DDF" w:rsidRDefault="00BE4DDF" w:rsidP="00BE4DDF">
      <w:pPr>
        <w:pStyle w:val="Odstavecseseznamem"/>
        <w:spacing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7AB78245" w14:textId="77777777" w:rsidR="002E1AB8" w:rsidRPr="00272937" w:rsidRDefault="002E1AB8" w:rsidP="00C8105C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k-SK"/>
        </w:rPr>
      </w:pPr>
      <w:r w:rsidRPr="00272937">
        <w:rPr>
          <w:rFonts w:cs="Times New Roman"/>
          <w:b/>
          <w:color w:val="000000"/>
          <w:sz w:val="20"/>
          <w:szCs w:val="20"/>
          <w:lang w:eastAsia="sk-SK"/>
        </w:rPr>
        <w:t xml:space="preserve">4. </w:t>
      </w:r>
      <w:r w:rsidR="00C8105C" w:rsidRPr="00272937">
        <w:rPr>
          <w:rFonts w:cs="Times New Roman"/>
          <w:b/>
          <w:color w:val="000000"/>
          <w:sz w:val="20"/>
          <w:szCs w:val="20"/>
          <w:lang w:eastAsia="sk-SK"/>
        </w:rPr>
        <w:t xml:space="preserve">Ošetrovateľská starostlivosť o dialyzovaného </w:t>
      </w:r>
      <w:r w:rsidRPr="00272937">
        <w:rPr>
          <w:rFonts w:cs="Times New Roman"/>
          <w:b/>
          <w:color w:val="000000"/>
          <w:sz w:val="20"/>
          <w:szCs w:val="20"/>
          <w:lang w:eastAsia="sk-SK"/>
        </w:rPr>
        <w:t xml:space="preserve">  </w:t>
      </w:r>
    </w:p>
    <w:p w14:paraId="557E9AB8" w14:textId="546E78D1" w:rsidR="00C8105C" w:rsidRPr="00272937" w:rsidRDefault="002E1AB8" w:rsidP="00C8105C">
      <w:pPr>
        <w:shd w:val="clear" w:color="auto" w:fill="FFFFFF"/>
        <w:rPr>
          <w:rFonts w:cs="Times New Roman"/>
          <w:color w:val="000000"/>
          <w:sz w:val="20"/>
          <w:szCs w:val="20"/>
          <w:lang w:eastAsia="sk-SK"/>
        </w:rPr>
      </w:pPr>
      <w:r w:rsidRPr="00272937">
        <w:rPr>
          <w:rFonts w:cs="Times New Roman"/>
          <w:b/>
          <w:color w:val="000000"/>
          <w:sz w:val="20"/>
          <w:szCs w:val="20"/>
          <w:lang w:eastAsia="sk-SK"/>
        </w:rPr>
        <w:t xml:space="preserve">     </w:t>
      </w:r>
      <w:r w:rsidR="00C8105C" w:rsidRPr="00272937">
        <w:rPr>
          <w:rFonts w:cs="Times New Roman"/>
          <w:b/>
          <w:color w:val="000000"/>
          <w:sz w:val="20"/>
          <w:szCs w:val="20"/>
          <w:lang w:eastAsia="sk-SK"/>
        </w:rPr>
        <w:t>pacienta v ústavnej starostlivosti.</w:t>
      </w:r>
    </w:p>
    <w:p w14:paraId="7D44E44C" w14:textId="01850B96" w:rsidR="002E1AB8" w:rsidRDefault="00C8105C" w:rsidP="00C8105C">
      <w:pPr>
        <w:shd w:val="clear" w:color="auto" w:fill="FFFFFF"/>
        <w:rPr>
          <w:rFonts w:cs="Times New Roman"/>
          <w:i/>
          <w:iCs/>
          <w:color w:val="000000"/>
          <w:sz w:val="20"/>
          <w:szCs w:val="20"/>
          <w:lang w:eastAsia="sk-SK"/>
        </w:rPr>
      </w:pPr>
      <w:r w:rsidRPr="00F425A3">
        <w:rPr>
          <w:rFonts w:cs="Times New Roman"/>
          <w:color w:val="000000"/>
          <w:lang w:eastAsia="sk-SK"/>
        </w:rPr>
        <w:t xml:space="preserve">    </w:t>
      </w:r>
      <w:r w:rsidR="002E1AB8">
        <w:rPr>
          <w:rFonts w:cs="Times New Roman"/>
          <w:color w:val="000000"/>
          <w:lang w:eastAsia="sk-SK"/>
        </w:rPr>
        <w:t xml:space="preserve">   </w:t>
      </w:r>
      <w:r w:rsidR="004A384D">
        <w:rPr>
          <w:rFonts w:cs="Times New Roman"/>
          <w:color w:val="000000"/>
          <w:lang w:eastAsia="sk-SK"/>
        </w:rPr>
        <w:t xml:space="preserve">        </w:t>
      </w:r>
      <w:r w:rsidR="002E1AB8">
        <w:rPr>
          <w:rFonts w:cs="Times New Roman"/>
          <w:color w:val="000000"/>
          <w:lang w:eastAsia="sk-SK"/>
        </w:rPr>
        <w:t xml:space="preserve"> </w:t>
      </w:r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Silvia </w:t>
      </w:r>
      <w:proofErr w:type="spellStart"/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>Pástorová</w:t>
      </w:r>
      <w:proofErr w:type="spellEnd"/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>,</w:t>
      </w:r>
      <w:r w:rsidR="002E1AB8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</w:t>
      </w:r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Viliam </w:t>
      </w:r>
      <w:proofErr w:type="spellStart"/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>Csóka</w:t>
      </w:r>
      <w:proofErr w:type="spellEnd"/>
      <w:r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</w:t>
      </w:r>
    </w:p>
    <w:p w14:paraId="75027A8E" w14:textId="52E853C6" w:rsidR="00C8105C" w:rsidRPr="002E1AB8" w:rsidRDefault="002E1AB8" w:rsidP="00C8105C">
      <w:pPr>
        <w:shd w:val="clear" w:color="auto" w:fill="FFFFFF"/>
        <w:rPr>
          <w:rFonts w:cs="Times New Roman"/>
          <w:i/>
          <w:iCs/>
          <w:color w:val="000000"/>
          <w:sz w:val="20"/>
          <w:szCs w:val="20"/>
          <w:lang w:eastAsia="sk-SK"/>
        </w:rPr>
      </w:pPr>
      <w:r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                                          (</w:t>
      </w:r>
      <w:r w:rsidR="00C8105C"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FMC dialyzačné služby </w:t>
      </w:r>
      <w:proofErr w:type="spellStart"/>
      <w:r w:rsidR="004A384D">
        <w:rPr>
          <w:rFonts w:cs="Times New Roman"/>
          <w:i/>
          <w:iCs/>
          <w:color w:val="000000"/>
          <w:sz w:val="20"/>
          <w:szCs w:val="20"/>
          <w:lang w:eastAsia="sk-SK"/>
        </w:rPr>
        <w:t>s</w:t>
      </w:r>
      <w:r w:rsidR="00C8105C"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>.r.o</w:t>
      </w:r>
      <w:proofErr w:type="spellEnd"/>
      <w:r w:rsidR="00C8105C" w:rsidRPr="002E1AB8">
        <w:rPr>
          <w:rFonts w:cs="Times New Roman"/>
          <w:i/>
          <w:iCs/>
          <w:color w:val="000000"/>
          <w:sz w:val="20"/>
          <w:szCs w:val="20"/>
          <w:lang w:eastAsia="sk-SK"/>
        </w:rPr>
        <w:t>.</w:t>
      </w:r>
      <w:r>
        <w:rPr>
          <w:rFonts w:cs="Times New Roman"/>
          <w:i/>
          <w:iCs/>
          <w:color w:val="000000"/>
          <w:sz w:val="20"/>
          <w:szCs w:val="20"/>
          <w:lang w:eastAsia="sk-SK"/>
        </w:rPr>
        <w:t>)</w:t>
      </w:r>
    </w:p>
    <w:p w14:paraId="7B248122" w14:textId="77777777" w:rsidR="00C8105C" w:rsidRPr="00F425A3" w:rsidRDefault="00C8105C" w:rsidP="00C8105C">
      <w:pPr>
        <w:shd w:val="clear" w:color="auto" w:fill="FFFFFF"/>
        <w:rPr>
          <w:rFonts w:cs="Times New Roman"/>
          <w:color w:val="000000"/>
          <w:lang w:eastAsia="sk-SK"/>
        </w:rPr>
      </w:pPr>
    </w:p>
    <w:p w14:paraId="165FB772" w14:textId="04D7A938" w:rsidR="00C8105C" w:rsidRPr="0069191E" w:rsidRDefault="002E1AB8" w:rsidP="002E1AB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72937">
        <w:rPr>
          <w:b/>
          <w:bCs/>
          <w:color w:val="000000"/>
          <w:sz w:val="20"/>
          <w:szCs w:val="20"/>
        </w:rPr>
        <w:t>5.</w:t>
      </w:r>
      <w:r w:rsidR="00272937">
        <w:rPr>
          <w:b/>
          <w:bCs/>
          <w:color w:val="000000"/>
          <w:sz w:val="20"/>
          <w:szCs w:val="20"/>
        </w:rPr>
        <w:t xml:space="preserve"> </w:t>
      </w:r>
      <w:r w:rsidR="00C8105C" w:rsidRPr="0069191E">
        <w:rPr>
          <w:b/>
          <w:bCs/>
          <w:color w:val="000000"/>
          <w:sz w:val="20"/>
          <w:szCs w:val="20"/>
        </w:rPr>
        <w:t>Nie je krok ako krok</w:t>
      </w:r>
      <w:r w:rsidR="00C8105C" w:rsidRPr="0069191E">
        <w:rPr>
          <w:color w:val="000000"/>
          <w:sz w:val="20"/>
          <w:szCs w:val="20"/>
        </w:rPr>
        <w:t> </w:t>
      </w:r>
      <w:r w:rsidR="00C8105C" w:rsidRPr="0069191E">
        <w:rPr>
          <w:b/>
          <w:bCs/>
          <w:color w:val="000000"/>
          <w:sz w:val="20"/>
          <w:szCs w:val="20"/>
        </w:rPr>
        <w:t>- aj malé kroky sú úspech.</w:t>
      </w:r>
    </w:p>
    <w:p w14:paraId="5A645850" w14:textId="53140B42" w:rsidR="0069191E" w:rsidRPr="00272937" w:rsidRDefault="00C8105C" w:rsidP="0069191E">
      <w:pPr>
        <w:shd w:val="clear" w:color="auto" w:fill="FFFFFF"/>
        <w:rPr>
          <w:i/>
          <w:iCs/>
          <w:color w:val="000000"/>
          <w:sz w:val="20"/>
          <w:szCs w:val="20"/>
        </w:rPr>
      </w:pPr>
      <w:r w:rsidRPr="0069191E">
        <w:rPr>
          <w:color w:val="000000"/>
        </w:rPr>
        <w:t xml:space="preserve">   </w:t>
      </w:r>
      <w:r w:rsidR="0069191E">
        <w:rPr>
          <w:color w:val="000000"/>
        </w:rPr>
        <w:t xml:space="preserve">               </w:t>
      </w:r>
      <w:r w:rsidR="0069191E" w:rsidRPr="00272937">
        <w:rPr>
          <w:i/>
          <w:iCs/>
          <w:color w:val="000000"/>
          <w:sz w:val="20"/>
          <w:szCs w:val="20"/>
        </w:rPr>
        <w:t>Renáta</w:t>
      </w:r>
      <w:r w:rsidRPr="00272937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272937">
        <w:rPr>
          <w:i/>
          <w:iCs/>
          <w:color w:val="000000"/>
          <w:sz w:val="20"/>
          <w:szCs w:val="20"/>
        </w:rPr>
        <w:t>Gibodová</w:t>
      </w:r>
      <w:proofErr w:type="spellEnd"/>
      <w:r w:rsidR="0069191E" w:rsidRPr="00272937">
        <w:rPr>
          <w:i/>
          <w:iCs/>
          <w:color w:val="000000"/>
          <w:sz w:val="20"/>
          <w:szCs w:val="20"/>
        </w:rPr>
        <w:t>, Darina Sidorová</w:t>
      </w:r>
    </w:p>
    <w:p w14:paraId="710D44B6" w14:textId="336B7E19" w:rsidR="00C8105C" w:rsidRDefault="0069191E" w:rsidP="0069191E">
      <w:pPr>
        <w:shd w:val="clear" w:color="auto" w:fill="FFFFFF"/>
        <w:rPr>
          <w:i/>
          <w:iCs/>
          <w:color w:val="000000"/>
          <w:sz w:val="20"/>
          <w:szCs w:val="20"/>
          <w:lang w:eastAsia="sk-SK"/>
        </w:rPr>
      </w:pPr>
      <w:r>
        <w:rPr>
          <w:color w:val="000000"/>
        </w:rPr>
        <w:t xml:space="preserve">                                      </w:t>
      </w:r>
      <w:r w:rsidR="00C8105C" w:rsidRPr="0069191E">
        <w:rPr>
          <w:color w:val="000000"/>
        </w:rPr>
        <w:t xml:space="preserve"> </w:t>
      </w:r>
      <w:r>
        <w:rPr>
          <w:color w:val="000000"/>
        </w:rPr>
        <w:t xml:space="preserve">                      (</w:t>
      </w:r>
      <w:r w:rsidR="00C8105C" w:rsidRPr="0069191E">
        <w:rPr>
          <w:i/>
          <w:iCs/>
          <w:color w:val="000000"/>
          <w:sz w:val="20"/>
          <w:szCs w:val="20"/>
          <w:lang w:eastAsia="sk-SK"/>
        </w:rPr>
        <w:t>VÚSCH</w:t>
      </w:r>
      <w:r>
        <w:rPr>
          <w:i/>
          <w:iCs/>
          <w:color w:val="000000"/>
          <w:sz w:val="20"/>
          <w:szCs w:val="20"/>
          <w:lang w:eastAsia="sk-SK"/>
        </w:rPr>
        <w:t>)</w:t>
      </w:r>
    </w:p>
    <w:p w14:paraId="3EF1EE91" w14:textId="77777777" w:rsidR="0069191E" w:rsidRDefault="0069191E" w:rsidP="0069191E">
      <w:pPr>
        <w:shd w:val="clear" w:color="auto" w:fill="FFFFFF"/>
        <w:rPr>
          <w:i/>
          <w:iCs/>
          <w:color w:val="000000"/>
          <w:sz w:val="20"/>
          <w:szCs w:val="20"/>
          <w:lang w:eastAsia="sk-SK"/>
        </w:rPr>
      </w:pPr>
    </w:p>
    <w:p w14:paraId="23D7598C" w14:textId="6CBF3287" w:rsidR="0069191E" w:rsidRPr="0069191E" w:rsidRDefault="0069191E" w:rsidP="0069191E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69191E">
        <w:rPr>
          <w:b/>
          <w:bCs/>
          <w:color w:val="000000"/>
          <w:sz w:val="20"/>
          <w:szCs w:val="20"/>
          <w:lang w:eastAsia="sk-SK"/>
        </w:rPr>
        <w:t>6. Sestra – ochrankyňa života</w:t>
      </w:r>
    </w:p>
    <w:p w14:paraId="2ACF1776" w14:textId="5B4149A0" w:rsidR="00BE4DDF" w:rsidRPr="0069191E" w:rsidRDefault="0069191E" w:rsidP="0069191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</w:t>
      </w:r>
      <w:r w:rsidR="002E1AB8" w:rsidRPr="0069191E">
        <w:rPr>
          <w:i/>
          <w:iCs/>
          <w:sz w:val="20"/>
          <w:szCs w:val="20"/>
        </w:rPr>
        <w:t xml:space="preserve">Lucia </w:t>
      </w:r>
      <w:proofErr w:type="spellStart"/>
      <w:r w:rsidR="002E1AB8" w:rsidRPr="0069191E">
        <w:rPr>
          <w:i/>
          <w:iCs/>
          <w:sz w:val="20"/>
          <w:szCs w:val="20"/>
        </w:rPr>
        <w:t>Smolková</w:t>
      </w:r>
      <w:proofErr w:type="spellEnd"/>
      <w:r w:rsidR="005E1B71" w:rsidRPr="0069191E">
        <w:rPr>
          <w:i/>
          <w:iCs/>
          <w:sz w:val="20"/>
          <w:szCs w:val="20"/>
        </w:rPr>
        <w:t xml:space="preserve">   (UNLP)</w:t>
      </w:r>
    </w:p>
    <w:p w14:paraId="3CAA365A" w14:textId="77777777" w:rsidR="002E1AB8" w:rsidRDefault="002E1AB8" w:rsidP="00EC536E">
      <w:pPr>
        <w:pStyle w:val="Odstavecseseznamem"/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09A4D37" w14:textId="77777777" w:rsidR="002E1AB8" w:rsidRPr="005E1B71" w:rsidRDefault="002E1AB8" w:rsidP="00EC536E">
      <w:pPr>
        <w:pStyle w:val="Odstavecseseznamem"/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B44BA81" w14:textId="185D6BFC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  <w:r>
        <w:rPr>
          <w:rFonts w:ascii="LatienneTCE-Medi" w:hAnsi="LatienneTCE-Medi" w:cs="LatienneTCE-Medi"/>
          <w:b/>
          <w:bCs/>
          <w:i/>
          <w:sz w:val="22"/>
          <w:szCs w:val="22"/>
        </w:rPr>
        <w:t xml:space="preserve">Prestávka  </w:t>
      </w:r>
    </w:p>
    <w:p w14:paraId="66B3AF18" w14:textId="77777777" w:rsidR="00374F58" w:rsidRPr="005E1B71" w:rsidRDefault="00374F58">
      <w:pPr>
        <w:rPr>
          <w:rFonts w:ascii="LatienneTCE-Medi" w:hAnsi="LatienneTCE-Medi" w:cs="LatienneTCE-Medi"/>
          <w:sz w:val="20"/>
          <w:szCs w:val="20"/>
        </w:rPr>
      </w:pPr>
    </w:p>
    <w:p w14:paraId="038AFF78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67759F1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2BC220A2" w14:textId="77777777" w:rsidR="009E2AC7" w:rsidRDefault="009E2AC7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516AB587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5C2CB3F" w14:textId="77777777" w:rsidR="00374F58" w:rsidRDefault="007C2314">
      <w:pPr>
        <w:rPr>
          <w:rFonts w:ascii="LatienneTCE-Medi" w:hAnsi="LatienneTCE-Medi" w:cs="LatienneTCE-Medi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BD22FC0" wp14:editId="797ED80D">
            <wp:simplePos x="0" y="0"/>
            <wp:positionH relativeFrom="column">
              <wp:posOffset>333375</wp:posOffset>
            </wp:positionH>
            <wp:positionV relativeFrom="paragraph">
              <wp:posOffset>106045</wp:posOffset>
            </wp:positionV>
            <wp:extent cx="2511425" cy="760095"/>
            <wp:effectExtent l="0" t="0" r="0" b="0"/>
            <wp:wrapSquare wrapText="largest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E324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064598D9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37057C39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687B63CE" w14:textId="77777777" w:rsidR="00374F58" w:rsidRDefault="00374F58"/>
    <w:p w14:paraId="60B0D284" w14:textId="77777777" w:rsidR="00374F58" w:rsidRDefault="00374F58">
      <w:pPr>
        <w:rPr>
          <w:rFonts w:ascii="LatienneTCE-Medi" w:hAnsi="LatienneTCE-Medi" w:cs="LatienneTCE-Medi"/>
          <w:b/>
          <w:bCs/>
          <w:sz w:val="22"/>
          <w:szCs w:val="22"/>
        </w:rPr>
      </w:pPr>
    </w:p>
    <w:p w14:paraId="7A88F561" w14:textId="77777777" w:rsidR="00374F58" w:rsidRDefault="00374F58">
      <w:pPr>
        <w:rPr>
          <w:rFonts w:ascii="LatienneTCE-Medi" w:hAnsi="LatienneTCE-Medi" w:cs="LatienneTCE-Medi"/>
          <w:b/>
          <w:bCs/>
          <w:sz w:val="20"/>
          <w:szCs w:val="20"/>
        </w:rPr>
      </w:pPr>
    </w:p>
    <w:p w14:paraId="2EA33E1C" w14:textId="77777777" w:rsidR="00272937" w:rsidRDefault="00272937">
      <w:pPr>
        <w:rPr>
          <w:rFonts w:cs="Times New Roman"/>
          <w:b/>
          <w:bCs/>
          <w:i/>
          <w:sz w:val="22"/>
          <w:szCs w:val="22"/>
        </w:rPr>
      </w:pPr>
    </w:p>
    <w:p w14:paraId="5D168D03" w14:textId="77777777" w:rsidR="004A384D" w:rsidRDefault="004A384D">
      <w:pPr>
        <w:rPr>
          <w:rFonts w:cs="Times New Roman"/>
          <w:b/>
          <w:bCs/>
          <w:i/>
          <w:sz w:val="22"/>
          <w:szCs w:val="22"/>
        </w:rPr>
      </w:pPr>
    </w:p>
    <w:p w14:paraId="14F6DA7D" w14:textId="6599EC99" w:rsidR="00374F58" w:rsidRPr="005D5F2F" w:rsidRDefault="00374F58">
      <w:pPr>
        <w:rPr>
          <w:rFonts w:cs="Times New Roman"/>
          <w:b/>
          <w:bCs/>
          <w:sz w:val="22"/>
          <w:szCs w:val="22"/>
        </w:rPr>
      </w:pPr>
      <w:r w:rsidRPr="005D5F2F">
        <w:rPr>
          <w:rFonts w:cs="Times New Roman"/>
          <w:b/>
          <w:bCs/>
          <w:i/>
          <w:sz w:val="22"/>
          <w:szCs w:val="22"/>
        </w:rPr>
        <w:t xml:space="preserve">Odborný program II. blok    </w:t>
      </w:r>
      <w:r w:rsidRPr="005D5F2F">
        <w:rPr>
          <w:rFonts w:cs="Times New Roman"/>
          <w:bCs/>
          <w:i/>
          <w:sz w:val="22"/>
          <w:szCs w:val="22"/>
        </w:rPr>
        <w:t>(12.30 -14.30)</w:t>
      </w:r>
    </w:p>
    <w:p w14:paraId="5D28A947" w14:textId="77777777" w:rsidR="00374F58" w:rsidRDefault="00374F58">
      <w:pPr>
        <w:rPr>
          <w:rFonts w:cs="Times New Roman"/>
          <w:b/>
          <w:bCs/>
          <w:sz w:val="20"/>
          <w:szCs w:val="20"/>
        </w:rPr>
      </w:pPr>
    </w:p>
    <w:p w14:paraId="6CFFBEC1" w14:textId="77777777" w:rsidR="004A384D" w:rsidRDefault="004A384D">
      <w:pPr>
        <w:rPr>
          <w:rFonts w:cs="Times New Roman"/>
          <w:b/>
          <w:bCs/>
          <w:sz w:val="20"/>
          <w:szCs w:val="20"/>
        </w:rPr>
      </w:pPr>
    </w:p>
    <w:p w14:paraId="122097EE" w14:textId="77777777" w:rsidR="00272937" w:rsidRDefault="00272937">
      <w:pPr>
        <w:rPr>
          <w:rFonts w:cs="Times New Roman"/>
          <w:b/>
          <w:bCs/>
          <w:sz w:val="20"/>
          <w:szCs w:val="20"/>
        </w:rPr>
      </w:pPr>
    </w:p>
    <w:p w14:paraId="474D11A2" w14:textId="77777777" w:rsidR="004A384D" w:rsidRDefault="0069191E" w:rsidP="0069191E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k-SK"/>
        </w:rPr>
      </w:pPr>
      <w:r w:rsidRPr="00272937">
        <w:rPr>
          <w:rFonts w:cs="Times New Roman"/>
          <w:b/>
          <w:color w:val="000000"/>
          <w:sz w:val="20"/>
          <w:szCs w:val="20"/>
          <w:lang w:eastAsia="sk-SK"/>
        </w:rPr>
        <w:t>7.</w:t>
      </w:r>
      <w:r>
        <w:rPr>
          <w:rFonts w:cs="Times New Roman"/>
          <w:b/>
          <w:color w:val="000000"/>
          <w:lang w:eastAsia="sk-SK"/>
        </w:rPr>
        <w:t xml:space="preserve"> </w:t>
      </w:r>
      <w:r w:rsidRPr="0069191E">
        <w:rPr>
          <w:rFonts w:cs="Times New Roman"/>
          <w:b/>
          <w:color w:val="000000"/>
          <w:sz w:val="20"/>
          <w:szCs w:val="20"/>
          <w:lang w:eastAsia="sk-SK"/>
        </w:rPr>
        <w:t xml:space="preserve">Špecifika ošetrovateľskej starostlivosti </w:t>
      </w:r>
    </w:p>
    <w:p w14:paraId="1BFEE14B" w14:textId="72AE5E95" w:rsidR="0069191E" w:rsidRPr="0069191E" w:rsidRDefault="004A384D" w:rsidP="0069191E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k-SK"/>
        </w:rPr>
      </w:pPr>
      <w:r>
        <w:rPr>
          <w:rFonts w:cs="Times New Roman"/>
          <w:b/>
          <w:color w:val="000000"/>
          <w:sz w:val="20"/>
          <w:szCs w:val="20"/>
          <w:lang w:eastAsia="sk-SK"/>
        </w:rPr>
        <w:t xml:space="preserve">     </w:t>
      </w:r>
      <w:r w:rsidR="0069191E" w:rsidRPr="0069191E">
        <w:rPr>
          <w:rFonts w:cs="Times New Roman"/>
          <w:b/>
          <w:color w:val="000000"/>
          <w:sz w:val="20"/>
          <w:szCs w:val="20"/>
          <w:lang w:eastAsia="sk-SK"/>
        </w:rPr>
        <w:t>o pacienta so Status epileptikus.</w:t>
      </w:r>
    </w:p>
    <w:p w14:paraId="1C15CE3E" w14:textId="54DCF310" w:rsidR="0069191E" w:rsidRPr="0069191E" w:rsidRDefault="0069191E" w:rsidP="0069191E">
      <w:pPr>
        <w:shd w:val="clear" w:color="auto" w:fill="FFFFFF"/>
        <w:rPr>
          <w:rFonts w:cs="Times New Roman"/>
          <w:i/>
          <w:iCs/>
          <w:color w:val="000000"/>
          <w:sz w:val="20"/>
          <w:szCs w:val="20"/>
          <w:lang w:eastAsia="sk-SK"/>
        </w:rPr>
      </w:pPr>
      <w:r>
        <w:rPr>
          <w:rFonts w:cs="Times New Roman"/>
          <w:color w:val="000000"/>
          <w:lang w:eastAsia="sk-SK"/>
        </w:rPr>
        <w:t xml:space="preserve">    </w:t>
      </w:r>
      <w:r>
        <w:rPr>
          <w:rFonts w:cs="Times New Roman"/>
          <w:color w:val="000000"/>
          <w:lang w:eastAsia="sk-SK"/>
        </w:rPr>
        <w:t xml:space="preserve">                        </w:t>
      </w:r>
      <w:r w:rsidR="00272937">
        <w:rPr>
          <w:rFonts w:cs="Times New Roman"/>
          <w:color w:val="000000"/>
          <w:lang w:eastAsia="sk-SK"/>
        </w:rPr>
        <w:t xml:space="preserve"> </w:t>
      </w:r>
      <w:r w:rsidRPr="0069191E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Martina </w:t>
      </w:r>
      <w:proofErr w:type="spellStart"/>
      <w:r w:rsidRPr="0069191E">
        <w:rPr>
          <w:rFonts w:cs="Times New Roman"/>
          <w:i/>
          <w:iCs/>
          <w:color w:val="000000"/>
          <w:sz w:val="20"/>
          <w:szCs w:val="20"/>
          <w:lang w:eastAsia="sk-SK"/>
        </w:rPr>
        <w:t>Engelová</w:t>
      </w:r>
      <w:proofErr w:type="spellEnd"/>
      <w:r w:rsidRPr="0069191E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  </w:t>
      </w:r>
      <w:r>
        <w:rPr>
          <w:rFonts w:cs="Times New Roman"/>
          <w:i/>
          <w:iCs/>
          <w:color w:val="000000"/>
          <w:sz w:val="20"/>
          <w:szCs w:val="20"/>
          <w:lang w:eastAsia="sk-SK"/>
        </w:rPr>
        <w:t>(</w:t>
      </w:r>
      <w:r w:rsidRPr="0069191E">
        <w:rPr>
          <w:rFonts w:cs="Times New Roman"/>
          <w:i/>
          <w:iCs/>
          <w:color w:val="000000"/>
          <w:sz w:val="20"/>
          <w:szCs w:val="20"/>
          <w:lang w:eastAsia="sk-SK"/>
        </w:rPr>
        <w:t xml:space="preserve"> UNLP</w:t>
      </w:r>
      <w:r>
        <w:rPr>
          <w:rFonts w:cs="Times New Roman"/>
          <w:i/>
          <w:iCs/>
          <w:color w:val="000000"/>
          <w:sz w:val="20"/>
          <w:szCs w:val="20"/>
          <w:lang w:eastAsia="sk-SK"/>
        </w:rPr>
        <w:t>)</w:t>
      </w:r>
    </w:p>
    <w:p w14:paraId="0B95EBC1" w14:textId="77777777" w:rsidR="0069191E" w:rsidRDefault="0069191E" w:rsidP="0069191E">
      <w:pPr>
        <w:shd w:val="clear" w:color="auto" w:fill="FFFFFF"/>
        <w:rPr>
          <w:rFonts w:cs="Times New Roman"/>
          <w:color w:val="000000"/>
          <w:lang w:eastAsia="sk-SK"/>
        </w:rPr>
      </w:pPr>
    </w:p>
    <w:p w14:paraId="30ADC9DC" w14:textId="77777777" w:rsidR="009E2AC7" w:rsidRPr="009E2AC7" w:rsidRDefault="009E2AC7" w:rsidP="009E2AC7">
      <w:pPr>
        <w:rPr>
          <w:rFonts w:cs="Times New Roman"/>
          <w:i/>
          <w:iCs/>
          <w:color w:val="000000"/>
          <w:sz w:val="20"/>
          <w:szCs w:val="20"/>
        </w:rPr>
      </w:pPr>
    </w:p>
    <w:p w14:paraId="7B64A101" w14:textId="5DE0277A" w:rsidR="0069191E" w:rsidRPr="0069191E" w:rsidRDefault="0069191E" w:rsidP="0069191E">
      <w:pPr>
        <w:shd w:val="clear" w:color="auto" w:fill="FFFFFF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580F0B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8.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Pr="0069191E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FARAPULZ - ablácia pľúcnym poľom.</w:t>
      </w:r>
    </w:p>
    <w:p w14:paraId="5E819F85" w14:textId="419DBE52" w:rsidR="0069191E" w:rsidRPr="0069191E" w:rsidRDefault="0069191E" w:rsidP="0069191E">
      <w:pPr>
        <w:shd w:val="clear" w:color="auto" w:fill="FFFFFF"/>
        <w:rPr>
          <w:rFonts w:cs="Times New Roman"/>
          <w:i/>
          <w:iCs/>
          <w:color w:val="000000"/>
          <w:sz w:val="20"/>
          <w:szCs w:val="20"/>
          <w:lang w:eastAsia="sk-SK"/>
        </w:rPr>
      </w:pPr>
      <w:r w:rsidRPr="0069191E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 xml:space="preserve">     </w:t>
      </w:r>
      <w:r w:rsidRPr="0069191E">
        <w:rPr>
          <w:rFonts w:cs="Times New Roman"/>
          <w:i/>
          <w:iCs/>
          <w:sz w:val="20"/>
          <w:szCs w:val="20"/>
        </w:rPr>
        <w:t>Lucia</w:t>
      </w:r>
      <w:r w:rsidRPr="0069191E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69191E">
        <w:rPr>
          <w:rFonts w:cs="Times New Roman"/>
          <w:i/>
          <w:iCs/>
          <w:sz w:val="20"/>
          <w:szCs w:val="20"/>
        </w:rPr>
        <w:t>Vasilišinová</w:t>
      </w:r>
      <w:proofErr w:type="spellEnd"/>
      <w:r w:rsidRPr="0069191E">
        <w:rPr>
          <w:rFonts w:cs="Times New Roman"/>
          <w:i/>
          <w:iCs/>
          <w:color w:val="181717"/>
          <w:sz w:val="20"/>
          <w:szCs w:val="20"/>
        </w:rPr>
        <w:t xml:space="preserve">, Daniela </w:t>
      </w:r>
      <w:proofErr w:type="spellStart"/>
      <w:r w:rsidRPr="0069191E">
        <w:rPr>
          <w:rFonts w:cs="Times New Roman"/>
          <w:i/>
          <w:iCs/>
          <w:color w:val="181717"/>
          <w:sz w:val="20"/>
          <w:szCs w:val="20"/>
        </w:rPr>
        <w:t>Čulková</w:t>
      </w:r>
      <w:proofErr w:type="spellEnd"/>
      <w:r w:rsidRPr="0069191E">
        <w:rPr>
          <w:rFonts w:cs="Times New Roman"/>
          <w:color w:val="181717"/>
          <w:sz w:val="20"/>
          <w:szCs w:val="20"/>
        </w:rPr>
        <w:t xml:space="preserve"> </w:t>
      </w:r>
      <w:r>
        <w:rPr>
          <w:rFonts w:cs="Times New Roman"/>
          <w:color w:val="181717"/>
          <w:sz w:val="20"/>
          <w:szCs w:val="20"/>
        </w:rPr>
        <w:t xml:space="preserve">  (</w:t>
      </w:r>
      <w:r w:rsidRPr="0069191E">
        <w:rPr>
          <w:rFonts w:cs="Times New Roman"/>
          <w:i/>
          <w:iCs/>
          <w:color w:val="000000"/>
          <w:sz w:val="20"/>
          <w:szCs w:val="20"/>
          <w:lang w:eastAsia="sk-SK"/>
        </w:rPr>
        <w:t>VÚSCH</w:t>
      </w:r>
      <w:r>
        <w:rPr>
          <w:rFonts w:cs="Times New Roman"/>
          <w:i/>
          <w:iCs/>
          <w:color w:val="000000"/>
          <w:sz w:val="20"/>
          <w:szCs w:val="20"/>
          <w:lang w:eastAsia="sk-SK"/>
        </w:rPr>
        <w:t>)</w:t>
      </w:r>
    </w:p>
    <w:p w14:paraId="2DD18A68" w14:textId="77777777" w:rsidR="0069191E" w:rsidRDefault="0069191E" w:rsidP="0069191E">
      <w:pPr>
        <w:shd w:val="clear" w:color="auto" w:fill="FFFFFF"/>
        <w:rPr>
          <w:rFonts w:cs="Times New Roman"/>
          <w:color w:val="000000"/>
          <w:lang w:eastAsia="sk-SK"/>
        </w:rPr>
      </w:pPr>
    </w:p>
    <w:p w14:paraId="5AB7907F" w14:textId="251EA3F2" w:rsidR="0069191E" w:rsidRPr="00580F0B" w:rsidRDefault="00580F0B" w:rsidP="0069191E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k-SK"/>
        </w:rPr>
      </w:pPr>
      <w:r>
        <w:rPr>
          <w:rFonts w:cs="Times New Roman"/>
          <w:b/>
          <w:bCs/>
          <w:color w:val="000000"/>
          <w:sz w:val="20"/>
          <w:szCs w:val="20"/>
          <w:lang w:eastAsia="sk-SK"/>
        </w:rPr>
        <w:t>9.</w:t>
      </w:r>
      <w:r w:rsidR="0069191E" w:rsidRPr="00580F0B">
        <w:rPr>
          <w:rFonts w:cs="Times New Roman"/>
          <w:color w:val="000000"/>
          <w:sz w:val="20"/>
          <w:szCs w:val="20"/>
          <w:lang w:eastAsia="sk-SK"/>
        </w:rPr>
        <w:t xml:space="preserve">  </w:t>
      </w:r>
      <w:r w:rsidR="0069191E" w:rsidRPr="00580F0B">
        <w:rPr>
          <w:rFonts w:cs="Times New Roman"/>
          <w:b/>
          <w:color w:val="000000"/>
          <w:sz w:val="20"/>
          <w:szCs w:val="20"/>
          <w:lang w:eastAsia="sk-SK"/>
        </w:rPr>
        <w:t xml:space="preserve">Fábryho choroba. </w:t>
      </w:r>
    </w:p>
    <w:p w14:paraId="4F2F345F" w14:textId="62B896EA" w:rsidR="0069191E" w:rsidRPr="00580F0B" w:rsidRDefault="0069191E" w:rsidP="0069191E">
      <w:pPr>
        <w:rPr>
          <w:rFonts w:cs="Times New Roman"/>
          <w:i/>
          <w:iCs/>
          <w:sz w:val="20"/>
          <w:szCs w:val="20"/>
        </w:rPr>
      </w:pPr>
      <w:r w:rsidRPr="00580F0B">
        <w:rPr>
          <w:sz w:val="20"/>
          <w:szCs w:val="20"/>
        </w:rPr>
        <w:t xml:space="preserve">     </w:t>
      </w:r>
      <w:r w:rsidR="00272937">
        <w:rPr>
          <w:rFonts w:cs="Times New Roman"/>
          <w:i/>
          <w:iCs/>
          <w:sz w:val="20"/>
          <w:szCs w:val="20"/>
        </w:rPr>
        <w:t xml:space="preserve">                                   </w:t>
      </w:r>
      <w:r w:rsidRPr="00580F0B">
        <w:rPr>
          <w:rFonts w:cs="Times New Roman"/>
          <w:i/>
          <w:iCs/>
          <w:sz w:val="20"/>
          <w:szCs w:val="20"/>
        </w:rPr>
        <w:t xml:space="preserve">Klára </w:t>
      </w:r>
      <w:proofErr w:type="spellStart"/>
      <w:r w:rsidRPr="00580F0B">
        <w:rPr>
          <w:rFonts w:cs="Times New Roman"/>
          <w:i/>
          <w:iCs/>
          <w:sz w:val="20"/>
          <w:szCs w:val="20"/>
        </w:rPr>
        <w:t>Rugolská</w:t>
      </w:r>
      <w:proofErr w:type="spellEnd"/>
      <w:r w:rsidRPr="00580F0B">
        <w:rPr>
          <w:rFonts w:cs="Times New Roman"/>
          <w:i/>
          <w:iCs/>
          <w:sz w:val="20"/>
          <w:szCs w:val="20"/>
        </w:rPr>
        <w:t xml:space="preserve">   </w:t>
      </w:r>
      <w:r w:rsidR="00272937">
        <w:rPr>
          <w:rFonts w:cs="Times New Roman"/>
          <w:i/>
          <w:iCs/>
          <w:sz w:val="20"/>
          <w:szCs w:val="20"/>
        </w:rPr>
        <w:t>(</w:t>
      </w:r>
      <w:r w:rsidRPr="00580F0B">
        <w:rPr>
          <w:rFonts w:cs="Times New Roman"/>
          <w:i/>
          <w:iCs/>
          <w:sz w:val="20"/>
          <w:szCs w:val="20"/>
        </w:rPr>
        <w:t>UNLP</w:t>
      </w:r>
      <w:r w:rsidR="00272937">
        <w:rPr>
          <w:rFonts w:cs="Times New Roman"/>
          <w:i/>
          <w:iCs/>
          <w:sz w:val="20"/>
          <w:szCs w:val="20"/>
        </w:rPr>
        <w:t>)</w:t>
      </w:r>
    </w:p>
    <w:p w14:paraId="71D7F0A8" w14:textId="77777777" w:rsidR="005E1B71" w:rsidRDefault="005E1B71" w:rsidP="005E1B71">
      <w:pPr>
        <w:pStyle w:val="Odstavecseseznamem"/>
        <w:spacing w:after="0" w:line="240" w:lineRule="auto"/>
        <w:ind w:left="360"/>
        <w:rPr>
          <w:rFonts w:asciiTheme="minorHAnsi" w:hAnsiTheme="minorHAnsi" w:cstheme="minorHAnsi"/>
          <w:bCs/>
          <w:i/>
          <w:sz w:val="20"/>
          <w:szCs w:val="20"/>
        </w:rPr>
      </w:pPr>
    </w:p>
    <w:p w14:paraId="49CAB0D7" w14:textId="77777777" w:rsidR="004A384D" w:rsidRDefault="00580F0B" w:rsidP="00580F0B">
      <w:pPr>
        <w:rPr>
          <w:rFonts w:cs="Times New Roman"/>
          <w:b/>
          <w:sz w:val="20"/>
          <w:szCs w:val="20"/>
        </w:rPr>
      </w:pPr>
      <w:r w:rsidRPr="00580F0B">
        <w:rPr>
          <w:rFonts w:cs="Times New Roman"/>
          <w:b/>
          <w:sz w:val="20"/>
          <w:szCs w:val="20"/>
        </w:rPr>
        <w:t xml:space="preserve">10. </w:t>
      </w:r>
      <w:r w:rsidRPr="00580F0B">
        <w:rPr>
          <w:rFonts w:cs="Times New Roman"/>
          <w:b/>
          <w:sz w:val="20"/>
          <w:szCs w:val="20"/>
        </w:rPr>
        <w:t xml:space="preserve">Úloha sestry pri podávaní génovej liečby </w:t>
      </w:r>
    </w:p>
    <w:p w14:paraId="7212F649" w14:textId="431BC6B3" w:rsidR="00580F0B" w:rsidRPr="00580F0B" w:rsidRDefault="004A384D" w:rsidP="00580F0B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</w:t>
      </w:r>
      <w:r w:rsidR="00580F0B" w:rsidRPr="00580F0B">
        <w:rPr>
          <w:rFonts w:cs="Times New Roman"/>
          <w:b/>
          <w:sz w:val="20"/>
          <w:szCs w:val="20"/>
        </w:rPr>
        <w:t>u detského pacienta.</w:t>
      </w:r>
    </w:p>
    <w:p w14:paraId="5C7F450E" w14:textId="5E8275E2" w:rsidR="00580F0B" w:rsidRPr="00580F0B" w:rsidRDefault="00580F0B" w:rsidP="00580F0B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</w:rPr>
        <w:t xml:space="preserve">   </w:t>
      </w:r>
      <w:r w:rsidR="00272937">
        <w:rPr>
          <w:rFonts w:cs="Times New Roman"/>
          <w:b/>
        </w:rPr>
        <w:t xml:space="preserve">         </w:t>
      </w:r>
      <w:r w:rsidRPr="00580F0B">
        <w:rPr>
          <w:rFonts w:cs="Times New Roman"/>
          <w:i/>
          <w:iCs/>
          <w:sz w:val="20"/>
          <w:szCs w:val="20"/>
        </w:rPr>
        <w:t xml:space="preserve">Viera </w:t>
      </w:r>
      <w:proofErr w:type="spellStart"/>
      <w:r w:rsidRPr="00580F0B">
        <w:rPr>
          <w:rFonts w:cs="Times New Roman"/>
          <w:i/>
          <w:iCs/>
          <w:sz w:val="20"/>
          <w:szCs w:val="20"/>
        </w:rPr>
        <w:t>Ficeryová</w:t>
      </w:r>
      <w:proofErr w:type="spellEnd"/>
      <w:r w:rsidRPr="00580F0B">
        <w:rPr>
          <w:rFonts w:cs="Times New Roman"/>
          <w:i/>
          <w:iCs/>
          <w:sz w:val="20"/>
          <w:szCs w:val="20"/>
        </w:rPr>
        <w:t>,</w:t>
      </w:r>
      <w:r w:rsidRPr="00580F0B">
        <w:rPr>
          <w:rFonts w:cs="Times New Roman"/>
          <w:i/>
          <w:iCs/>
          <w:sz w:val="20"/>
          <w:szCs w:val="20"/>
        </w:rPr>
        <w:t xml:space="preserve"> </w:t>
      </w:r>
      <w:r w:rsidRPr="00580F0B">
        <w:rPr>
          <w:rFonts w:cs="Times New Roman"/>
          <w:i/>
          <w:iCs/>
          <w:sz w:val="20"/>
          <w:szCs w:val="20"/>
        </w:rPr>
        <w:t xml:space="preserve">Ladislav Rác  </w:t>
      </w:r>
      <w:r w:rsidRPr="00580F0B">
        <w:rPr>
          <w:rFonts w:cs="Times New Roman"/>
          <w:i/>
          <w:iCs/>
          <w:sz w:val="20"/>
          <w:szCs w:val="20"/>
        </w:rPr>
        <w:t xml:space="preserve">   (</w:t>
      </w:r>
      <w:r w:rsidRPr="00580F0B">
        <w:rPr>
          <w:rFonts w:cs="Times New Roman"/>
          <w:i/>
          <w:iCs/>
          <w:sz w:val="20"/>
          <w:szCs w:val="20"/>
        </w:rPr>
        <w:t xml:space="preserve"> DFN</w:t>
      </w:r>
      <w:r w:rsidRPr="00580F0B">
        <w:rPr>
          <w:rFonts w:cs="Times New Roman"/>
          <w:i/>
          <w:iCs/>
          <w:sz w:val="20"/>
          <w:szCs w:val="20"/>
        </w:rPr>
        <w:t>)</w:t>
      </w:r>
    </w:p>
    <w:p w14:paraId="5A382987" w14:textId="77777777" w:rsidR="00272937" w:rsidRDefault="00272937" w:rsidP="00580F0B">
      <w:pPr>
        <w:rPr>
          <w:rFonts w:cs="Times New Roman"/>
        </w:rPr>
      </w:pPr>
    </w:p>
    <w:p w14:paraId="181C1C8A" w14:textId="44682F2D" w:rsidR="00580F0B" w:rsidRPr="00580F0B" w:rsidRDefault="00580F0B" w:rsidP="00580F0B">
      <w:pPr>
        <w:rPr>
          <w:rFonts w:cs="Times New Roman"/>
          <w:b/>
          <w:sz w:val="20"/>
          <w:szCs w:val="20"/>
        </w:rPr>
      </w:pPr>
      <w:r w:rsidRPr="00272937">
        <w:rPr>
          <w:rFonts w:cs="Times New Roman"/>
          <w:b/>
          <w:bCs/>
          <w:sz w:val="20"/>
          <w:szCs w:val="20"/>
        </w:rPr>
        <w:t>11.</w:t>
      </w:r>
      <w:r w:rsidRPr="00580F0B">
        <w:rPr>
          <w:rFonts w:cs="Times New Roman"/>
          <w:sz w:val="20"/>
          <w:szCs w:val="20"/>
        </w:rPr>
        <w:t xml:space="preserve">  </w:t>
      </w:r>
      <w:r w:rsidRPr="00580F0B">
        <w:rPr>
          <w:rFonts w:cs="Times New Roman"/>
          <w:b/>
          <w:sz w:val="20"/>
          <w:szCs w:val="20"/>
        </w:rPr>
        <w:t>Služobný odev sestier ako artefakt povolania</w:t>
      </w:r>
    </w:p>
    <w:p w14:paraId="097FAA16" w14:textId="4DF14800" w:rsidR="00580F0B" w:rsidRPr="00580F0B" w:rsidRDefault="00580F0B" w:rsidP="00580F0B">
      <w:pPr>
        <w:rPr>
          <w:rFonts w:cs="Times New Roman"/>
          <w:i/>
          <w:iCs/>
          <w:sz w:val="20"/>
          <w:szCs w:val="20"/>
        </w:rPr>
      </w:pPr>
      <w:r w:rsidRPr="00580F0B">
        <w:rPr>
          <w:rFonts w:cs="Times New Roman"/>
          <w:sz w:val="20"/>
          <w:szCs w:val="20"/>
        </w:rPr>
        <w:t xml:space="preserve">    </w:t>
      </w:r>
      <w:r w:rsidR="00272937">
        <w:rPr>
          <w:rFonts w:cs="Times New Roman"/>
          <w:sz w:val="20"/>
          <w:szCs w:val="20"/>
        </w:rPr>
        <w:t xml:space="preserve">                             </w:t>
      </w:r>
      <w:r w:rsidRPr="00580F0B">
        <w:rPr>
          <w:rFonts w:cs="Times New Roman"/>
          <w:i/>
          <w:iCs/>
          <w:sz w:val="20"/>
          <w:szCs w:val="20"/>
        </w:rPr>
        <w:t xml:space="preserve"> Veronika Antalová</w:t>
      </w:r>
      <w:r w:rsidR="00272937">
        <w:rPr>
          <w:rFonts w:cs="Times New Roman"/>
          <w:i/>
          <w:iCs/>
          <w:sz w:val="20"/>
          <w:szCs w:val="20"/>
        </w:rPr>
        <w:t xml:space="preserve"> </w:t>
      </w:r>
      <w:r w:rsidRPr="00580F0B">
        <w:rPr>
          <w:rFonts w:cs="Times New Roman"/>
          <w:i/>
          <w:iCs/>
          <w:sz w:val="20"/>
          <w:szCs w:val="20"/>
        </w:rPr>
        <w:t xml:space="preserve"> </w:t>
      </w:r>
      <w:r w:rsidR="00272937">
        <w:rPr>
          <w:rFonts w:cs="Times New Roman"/>
          <w:i/>
          <w:iCs/>
          <w:sz w:val="20"/>
          <w:szCs w:val="20"/>
        </w:rPr>
        <w:t>(</w:t>
      </w:r>
      <w:r w:rsidRPr="00580F0B">
        <w:rPr>
          <w:rFonts w:cs="Times New Roman"/>
          <w:i/>
          <w:iCs/>
          <w:sz w:val="20"/>
          <w:szCs w:val="20"/>
        </w:rPr>
        <w:t>VÚSCH</w:t>
      </w:r>
      <w:r w:rsidR="00272937">
        <w:rPr>
          <w:rFonts w:cs="Times New Roman"/>
          <w:i/>
          <w:iCs/>
          <w:sz w:val="20"/>
          <w:szCs w:val="20"/>
        </w:rPr>
        <w:t>)</w:t>
      </w:r>
    </w:p>
    <w:p w14:paraId="01ACBA34" w14:textId="77777777" w:rsidR="00580F0B" w:rsidRPr="00580F0B" w:rsidRDefault="00580F0B" w:rsidP="00580F0B">
      <w:pPr>
        <w:rPr>
          <w:rFonts w:cs="Times New Roman"/>
          <w:sz w:val="20"/>
          <w:szCs w:val="20"/>
        </w:rPr>
      </w:pPr>
    </w:p>
    <w:p w14:paraId="5A7016CF" w14:textId="77777777" w:rsidR="00580F0B" w:rsidRPr="00580F0B" w:rsidRDefault="00580F0B" w:rsidP="00580F0B">
      <w:pPr>
        <w:tabs>
          <w:tab w:val="left" w:pos="2370"/>
        </w:tabs>
        <w:rPr>
          <w:rFonts w:cs="Times New Roman"/>
          <w:sz w:val="20"/>
          <w:szCs w:val="20"/>
        </w:rPr>
      </w:pPr>
    </w:p>
    <w:p w14:paraId="1927ECB4" w14:textId="776995B5" w:rsidR="00580F0B" w:rsidRPr="00580F0B" w:rsidRDefault="00580F0B" w:rsidP="00580F0B">
      <w:pPr>
        <w:tabs>
          <w:tab w:val="left" w:pos="2370"/>
        </w:tabs>
        <w:rPr>
          <w:rFonts w:cs="Times New Roman"/>
          <w:sz w:val="20"/>
          <w:szCs w:val="20"/>
        </w:rPr>
      </w:pPr>
      <w:r w:rsidRPr="00272937">
        <w:rPr>
          <w:rFonts w:cs="Times New Roman"/>
          <w:b/>
          <w:bCs/>
          <w:sz w:val="20"/>
          <w:szCs w:val="20"/>
        </w:rPr>
        <w:t>1</w:t>
      </w:r>
      <w:r w:rsidR="004A384D">
        <w:rPr>
          <w:rFonts w:cs="Times New Roman"/>
          <w:b/>
          <w:bCs/>
          <w:sz w:val="20"/>
          <w:szCs w:val="20"/>
        </w:rPr>
        <w:t>2</w:t>
      </w:r>
      <w:r w:rsidRPr="00272937">
        <w:rPr>
          <w:rFonts w:cs="Times New Roman"/>
          <w:b/>
          <w:bCs/>
          <w:sz w:val="20"/>
          <w:szCs w:val="20"/>
        </w:rPr>
        <w:t>.</w:t>
      </w:r>
      <w:r w:rsidRPr="00580F0B">
        <w:rPr>
          <w:rFonts w:cs="Times New Roman"/>
          <w:sz w:val="20"/>
          <w:szCs w:val="20"/>
        </w:rPr>
        <w:t xml:space="preserve"> </w:t>
      </w:r>
      <w:r w:rsidRPr="00580F0B">
        <w:rPr>
          <w:rFonts w:cs="Times New Roman"/>
          <w:b/>
          <w:sz w:val="20"/>
          <w:szCs w:val="20"/>
        </w:rPr>
        <w:t>Rapídne chudnutie</w:t>
      </w:r>
    </w:p>
    <w:p w14:paraId="2BB07648" w14:textId="3F0BCE8F" w:rsidR="00580F0B" w:rsidRPr="00580F0B" w:rsidRDefault="00580F0B" w:rsidP="00580F0B">
      <w:pPr>
        <w:tabs>
          <w:tab w:val="left" w:pos="2370"/>
        </w:tabs>
        <w:rPr>
          <w:rFonts w:cs="Times New Roman"/>
          <w:i/>
          <w:iCs/>
          <w:sz w:val="20"/>
          <w:szCs w:val="20"/>
        </w:rPr>
      </w:pPr>
      <w:r w:rsidRPr="00580F0B">
        <w:rPr>
          <w:rFonts w:cs="Times New Roman"/>
          <w:sz w:val="20"/>
          <w:szCs w:val="20"/>
        </w:rPr>
        <w:t xml:space="preserve">     </w:t>
      </w:r>
      <w:r w:rsidR="00272937">
        <w:rPr>
          <w:rFonts w:cs="Times New Roman"/>
          <w:sz w:val="20"/>
          <w:szCs w:val="20"/>
        </w:rPr>
        <w:t xml:space="preserve">                      </w:t>
      </w:r>
      <w:r w:rsidRPr="00580F0B">
        <w:rPr>
          <w:rFonts w:cs="Times New Roman"/>
          <w:sz w:val="20"/>
          <w:szCs w:val="20"/>
        </w:rPr>
        <w:t xml:space="preserve"> </w:t>
      </w:r>
      <w:r w:rsidRPr="00580F0B">
        <w:rPr>
          <w:rFonts w:cs="Times New Roman"/>
          <w:i/>
          <w:iCs/>
          <w:sz w:val="20"/>
          <w:szCs w:val="20"/>
        </w:rPr>
        <w:t xml:space="preserve"> </w:t>
      </w:r>
      <w:r w:rsidR="004A384D">
        <w:rPr>
          <w:rFonts w:cs="Times New Roman"/>
          <w:i/>
          <w:iCs/>
          <w:sz w:val="20"/>
          <w:szCs w:val="20"/>
        </w:rPr>
        <w:t xml:space="preserve">    </w:t>
      </w:r>
      <w:r w:rsidRPr="00580F0B">
        <w:rPr>
          <w:rFonts w:cs="Times New Roman"/>
          <w:i/>
          <w:iCs/>
          <w:sz w:val="20"/>
          <w:szCs w:val="20"/>
        </w:rPr>
        <w:t xml:space="preserve">Karina </w:t>
      </w:r>
      <w:proofErr w:type="spellStart"/>
      <w:r w:rsidRPr="00580F0B">
        <w:rPr>
          <w:rFonts w:cs="Times New Roman"/>
          <w:i/>
          <w:iCs/>
          <w:sz w:val="20"/>
          <w:szCs w:val="20"/>
        </w:rPr>
        <w:t>Jenčíková</w:t>
      </w:r>
      <w:proofErr w:type="spellEnd"/>
      <w:r w:rsidR="00272937">
        <w:rPr>
          <w:rFonts w:cs="Times New Roman"/>
          <w:i/>
          <w:iCs/>
          <w:sz w:val="20"/>
          <w:szCs w:val="20"/>
        </w:rPr>
        <w:t xml:space="preserve">       (</w:t>
      </w:r>
      <w:r w:rsidRPr="00580F0B">
        <w:rPr>
          <w:rFonts w:cs="Times New Roman"/>
          <w:i/>
          <w:iCs/>
          <w:sz w:val="20"/>
          <w:szCs w:val="20"/>
        </w:rPr>
        <w:t>UNLP</w:t>
      </w:r>
      <w:r w:rsidR="00272937">
        <w:rPr>
          <w:rFonts w:cs="Times New Roman"/>
          <w:i/>
          <w:iCs/>
          <w:sz w:val="20"/>
          <w:szCs w:val="20"/>
        </w:rPr>
        <w:t>)</w:t>
      </w:r>
      <w:r w:rsidRPr="00580F0B">
        <w:rPr>
          <w:rFonts w:cs="Times New Roman"/>
          <w:i/>
          <w:iCs/>
          <w:sz w:val="20"/>
          <w:szCs w:val="20"/>
        </w:rPr>
        <w:t xml:space="preserve"> </w:t>
      </w:r>
    </w:p>
    <w:p w14:paraId="485775BF" w14:textId="77777777" w:rsidR="005E1B71" w:rsidRDefault="005E1B71" w:rsidP="005E1B71">
      <w:pPr>
        <w:pStyle w:val="Odstavecseseznamem"/>
        <w:ind w:left="360"/>
        <w:rPr>
          <w:rFonts w:ascii="Times New Roman" w:hAnsi="Times New Roman"/>
          <w:b/>
          <w:i/>
          <w:sz w:val="20"/>
          <w:szCs w:val="20"/>
          <w:lang w:eastAsia="sk-SK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14:paraId="54E1880A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441C9404" w14:textId="2A45DAA4" w:rsidR="00374F58" w:rsidRDefault="00374F58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  <w:r>
        <w:rPr>
          <w:rFonts w:ascii="LatienneTCE-Medi" w:hAnsi="LatienneTCE-Medi" w:cs="LatienneTCE-Medi"/>
          <w:b/>
          <w:i/>
          <w:sz w:val="22"/>
          <w:szCs w:val="22"/>
          <w:lang w:eastAsia="sk-SK"/>
        </w:rPr>
        <w:t>Záver</w:t>
      </w:r>
    </w:p>
    <w:p w14:paraId="6E64C5E8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1E8BFA1B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48DD6E37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5300DD9A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7EE906EE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18760990" w14:textId="77777777" w:rsidR="004A384D" w:rsidRDefault="004A384D" w:rsidP="004A384D">
      <w:pPr>
        <w:rPr>
          <w:rFonts w:cs="Times New Roman"/>
          <w:b/>
          <w:i/>
          <w:sz w:val="22"/>
          <w:szCs w:val="22"/>
          <w:lang w:eastAsia="sk-SK"/>
        </w:rPr>
      </w:pPr>
      <w:r>
        <w:rPr>
          <w:rFonts w:cs="Times New Roman"/>
          <w:b/>
          <w:i/>
          <w:sz w:val="22"/>
          <w:szCs w:val="22"/>
          <w:lang w:eastAsia="sk-SK"/>
        </w:rPr>
        <w:t xml:space="preserve">Potvrdenia sa budú odovzdávať až po </w:t>
      </w:r>
    </w:p>
    <w:p w14:paraId="0359A944" w14:textId="77777777" w:rsidR="004A384D" w:rsidRDefault="004A384D" w:rsidP="004A384D">
      <w:pPr>
        <w:rPr>
          <w:sz w:val="22"/>
          <w:szCs w:val="22"/>
        </w:rPr>
      </w:pPr>
      <w:r>
        <w:rPr>
          <w:rFonts w:cs="Times New Roman"/>
          <w:b/>
          <w:i/>
          <w:sz w:val="22"/>
          <w:szCs w:val="22"/>
          <w:lang w:eastAsia="sk-SK"/>
        </w:rPr>
        <w:t>ukončení   seminára</w:t>
      </w:r>
    </w:p>
    <w:p w14:paraId="21BF41EA" w14:textId="77777777" w:rsidR="004A384D" w:rsidRDefault="004A384D" w:rsidP="004A384D">
      <w:pPr>
        <w:suppressAutoHyphens w:val="0"/>
        <w:rPr>
          <w:rFonts w:ascii="LatienneTCE-Medi" w:hAnsi="LatienneTCE-Medi" w:cs="LatienneTCE-Medi"/>
          <w:b/>
          <w:bCs/>
          <w:i/>
        </w:rPr>
      </w:pPr>
    </w:p>
    <w:p w14:paraId="7487CAA5" w14:textId="77777777" w:rsidR="004A384D" w:rsidRDefault="004A384D">
      <w:pPr>
        <w:rPr>
          <w:rFonts w:ascii="LatienneTCE-Medi" w:hAnsi="LatienneTCE-Medi" w:cs="LatienneTCE-Medi"/>
          <w:b/>
          <w:i/>
          <w:sz w:val="22"/>
          <w:szCs w:val="22"/>
          <w:lang w:eastAsia="sk-SK"/>
        </w:rPr>
      </w:pPr>
    </w:p>
    <w:p w14:paraId="0AD00B3A" w14:textId="77777777" w:rsidR="009B6810" w:rsidRDefault="009B6810" w:rsidP="005E1B71">
      <w:pPr>
        <w:rPr>
          <w:rFonts w:cs="Times New Roman"/>
          <w:color w:val="000000"/>
          <w:sz w:val="22"/>
          <w:szCs w:val="22"/>
          <w:lang w:eastAsia="sk-SK"/>
        </w:rPr>
      </w:pPr>
    </w:p>
    <w:p w14:paraId="6C899D40" w14:textId="77777777" w:rsidR="009B6810" w:rsidRDefault="009B6810" w:rsidP="00BD44FC">
      <w:pPr>
        <w:jc w:val="center"/>
        <w:rPr>
          <w:rFonts w:cs="Times New Roman"/>
          <w:color w:val="000000"/>
          <w:sz w:val="22"/>
          <w:szCs w:val="22"/>
          <w:lang w:eastAsia="sk-SK"/>
        </w:rPr>
      </w:pPr>
    </w:p>
    <w:p w14:paraId="446F2A01" w14:textId="77777777" w:rsidR="00BD44FC" w:rsidRDefault="00BD44FC" w:rsidP="00BD44FC">
      <w:pPr>
        <w:jc w:val="center"/>
        <w:rPr>
          <w:rFonts w:ascii="LatienneTCE-Medi" w:eastAsia="LatienneTCE-Medi" w:hAnsi="LatienneTCE-Medi" w:cs="LatienneTCE-Medi"/>
          <w:bCs/>
          <w:sz w:val="22"/>
          <w:szCs w:val="22"/>
        </w:rPr>
      </w:pPr>
    </w:p>
    <w:p w14:paraId="77AB3D1B" w14:textId="77777777" w:rsidR="009A1D22" w:rsidRDefault="009A1D22" w:rsidP="00BD44FC">
      <w:pPr>
        <w:jc w:val="center"/>
        <w:rPr>
          <w:rFonts w:ascii="LatienneTCE-Medi" w:hAnsi="LatienneTCE-Medi" w:cs="LatienneTCE-Medi"/>
          <w:b/>
          <w:bCs/>
          <w:i/>
          <w:sz w:val="22"/>
          <w:szCs w:val="22"/>
          <w:lang w:eastAsia="sk-SK"/>
        </w:rPr>
      </w:pPr>
    </w:p>
    <w:p w14:paraId="5943CB49" w14:textId="3F789C8E" w:rsidR="00374F58" w:rsidRDefault="00374F58" w:rsidP="007875CA">
      <w:pPr>
        <w:rPr>
          <w:sz w:val="22"/>
          <w:szCs w:val="22"/>
        </w:rPr>
      </w:pPr>
    </w:p>
    <w:sectPr w:rsidR="00374F58" w:rsidSect="00C7086D">
      <w:pgSz w:w="16838" w:h="11906" w:orient="landscape"/>
      <w:pgMar w:top="284" w:right="395" w:bottom="284" w:left="284" w:header="708" w:footer="708" w:gutter="0"/>
      <w:cols w:num="3" w:sep="1" w:space="953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ienneTCE-Medi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enneTCE-Me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D92319"/>
    <w:multiLevelType w:val="hybridMultilevel"/>
    <w:tmpl w:val="45760B2C"/>
    <w:lvl w:ilvl="0" w:tplc="5CDCBA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035D"/>
    <w:multiLevelType w:val="hybridMultilevel"/>
    <w:tmpl w:val="D57CA81E"/>
    <w:lvl w:ilvl="0" w:tplc="406E39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5EB3"/>
    <w:multiLevelType w:val="hybridMultilevel"/>
    <w:tmpl w:val="F9DAB3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637E9"/>
    <w:multiLevelType w:val="hybridMultilevel"/>
    <w:tmpl w:val="37A87B30"/>
    <w:lvl w:ilvl="0" w:tplc="288856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91729">
    <w:abstractNumId w:val="0"/>
  </w:num>
  <w:num w:numId="2" w16cid:durableId="258414276">
    <w:abstractNumId w:val="1"/>
  </w:num>
  <w:num w:numId="3" w16cid:durableId="4052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925">
    <w:abstractNumId w:val="4"/>
  </w:num>
  <w:num w:numId="5" w16cid:durableId="1288513772">
    <w:abstractNumId w:val="5"/>
  </w:num>
  <w:num w:numId="6" w16cid:durableId="1402563578">
    <w:abstractNumId w:val="2"/>
  </w:num>
  <w:num w:numId="7" w16cid:durableId="65881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2"/>
    <w:rsid w:val="00004C68"/>
    <w:rsid w:val="00014DDE"/>
    <w:rsid w:val="00035EB7"/>
    <w:rsid w:val="000619F6"/>
    <w:rsid w:val="000C6081"/>
    <w:rsid w:val="000E6358"/>
    <w:rsid w:val="00161A7F"/>
    <w:rsid w:val="001831BA"/>
    <w:rsid w:val="00272937"/>
    <w:rsid w:val="002E1AB8"/>
    <w:rsid w:val="00360B42"/>
    <w:rsid w:val="00374F58"/>
    <w:rsid w:val="00376D0F"/>
    <w:rsid w:val="003C7CBE"/>
    <w:rsid w:val="003E7A06"/>
    <w:rsid w:val="00400E9C"/>
    <w:rsid w:val="00412788"/>
    <w:rsid w:val="004175D0"/>
    <w:rsid w:val="00457290"/>
    <w:rsid w:val="004A384D"/>
    <w:rsid w:val="005772B1"/>
    <w:rsid w:val="00580F0B"/>
    <w:rsid w:val="00586504"/>
    <w:rsid w:val="005A2CAA"/>
    <w:rsid w:val="005D5F2F"/>
    <w:rsid w:val="005E1B71"/>
    <w:rsid w:val="00600059"/>
    <w:rsid w:val="006543C1"/>
    <w:rsid w:val="006637A3"/>
    <w:rsid w:val="0069191E"/>
    <w:rsid w:val="006A0915"/>
    <w:rsid w:val="00771B9D"/>
    <w:rsid w:val="007875CA"/>
    <w:rsid w:val="007C2314"/>
    <w:rsid w:val="00843727"/>
    <w:rsid w:val="009518F1"/>
    <w:rsid w:val="009A1D22"/>
    <w:rsid w:val="009B23BB"/>
    <w:rsid w:val="009B5A15"/>
    <w:rsid w:val="009B6810"/>
    <w:rsid w:val="009E2AC7"/>
    <w:rsid w:val="009F0AB2"/>
    <w:rsid w:val="00A317BA"/>
    <w:rsid w:val="00A62F19"/>
    <w:rsid w:val="00A75193"/>
    <w:rsid w:val="00B0656A"/>
    <w:rsid w:val="00B83F94"/>
    <w:rsid w:val="00BD44FC"/>
    <w:rsid w:val="00BE4DDF"/>
    <w:rsid w:val="00BF2BD3"/>
    <w:rsid w:val="00C7086D"/>
    <w:rsid w:val="00C8105C"/>
    <w:rsid w:val="00C87A22"/>
    <w:rsid w:val="00D10398"/>
    <w:rsid w:val="00D31B03"/>
    <w:rsid w:val="00D55908"/>
    <w:rsid w:val="00E17EB8"/>
    <w:rsid w:val="00E644EE"/>
    <w:rsid w:val="00E71AF9"/>
    <w:rsid w:val="00E76B59"/>
    <w:rsid w:val="00EC536E"/>
    <w:rsid w:val="00ED141A"/>
    <w:rsid w:val="00F73BEF"/>
    <w:rsid w:val="00F86349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AF1B5"/>
  <w15:chartTrackingRefBased/>
  <w15:docId w15:val="{B7418452-6589-4A8F-9FD1-8EB709A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sz w:val="22"/>
      <w:szCs w:val="22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175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5D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E4DDF"/>
    <w:pPr>
      <w:suppressAutoHyphens w:val="0"/>
      <w:spacing w:before="100" w:beforeAutospacing="1" w:after="100" w:afterAutospacing="1"/>
    </w:pPr>
    <w:rPr>
      <w:rFonts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Fabianová</cp:lastModifiedBy>
  <cp:revision>2</cp:revision>
  <cp:lastPrinted>2018-05-03T06:05:00Z</cp:lastPrinted>
  <dcterms:created xsi:type="dcterms:W3CDTF">2025-05-11T18:02:00Z</dcterms:created>
  <dcterms:modified xsi:type="dcterms:W3CDTF">2025-05-11T18:02:00Z</dcterms:modified>
</cp:coreProperties>
</file>